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ED" w:rsidRDefault="00E43495" w:rsidP="002A3AE2">
      <w:pPr>
        <w:tabs>
          <w:tab w:val="center" w:pos="4536"/>
        </w:tabs>
        <w:jc w:val="center"/>
        <w:rPr>
          <w:rFonts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>
          <v:roundrect id="Rectangle à coins arrondis 1" o:spid="_x0000_s1026" style="position:absolute;left:0;text-align:left;margin-left:98.65pt;margin-top:-10.85pt;width:297pt;height:42.75pt;z-index:-251660288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" fillcolor="#e2efd9 [665]" strokecolor="#1f4d78 [1604]" strokeweight="1pt">
            <v:fill color2="#e2efd9 [665]" rotate="t" colors="0 #838d7d;3932f #838d7d;31457f #e2f0d9" focus="100%" type="gradient"/>
            <v:stroke joinstyle="miter"/>
            <w10:wrap anchorx="margin"/>
          </v:roundrect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1123950" cy="11277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E2" w:rsidRPr="002A3AE2">
        <w:rPr>
          <w:rFonts w:ascii="Arial" w:hAnsi="Arial" w:cs="Arial"/>
          <w:b/>
          <w:sz w:val="30"/>
          <w:szCs w:val="30"/>
        </w:rPr>
        <w:t>Publicité</w:t>
      </w:r>
    </w:p>
    <w:p w:rsidR="00347E23" w:rsidRDefault="00347E23" w:rsidP="000769ED">
      <w:pPr>
        <w:jc w:val="right"/>
        <w:rPr>
          <w:rFonts w:cs="Times New Roman"/>
        </w:rPr>
      </w:pPr>
    </w:p>
    <w:p w:rsidR="000769ED" w:rsidRDefault="000769ED" w:rsidP="000769ED">
      <w:pPr>
        <w:jc w:val="right"/>
        <w:rPr>
          <w:rFonts w:cs="Times New Roman"/>
        </w:rPr>
      </w:pPr>
    </w:p>
    <w:p w:rsidR="000769ED" w:rsidRDefault="000769ED" w:rsidP="000769ED">
      <w:pPr>
        <w:rPr>
          <w:rFonts w:cs="Times New Roman"/>
        </w:rPr>
      </w:pPr>
    </w:p>
    <w:p w:rsidR="000769ED" w:rsidRDefault="000769ED" w:rsidP="000769ED">
      <w:pPr>
        <w:rPr>
          <w:rFonts w:cs="Times New Roman"/>
        </w:rPr>
      </w:pPr>
    </w:p>
    <w:p w:rsidR="000769ED" w:rsidRDefault="000769ED" w:rsidP="000769ED">
      <w:pPr>
        <w:rPr>
          <w:rFonts w:cs="Times New Roman"/>
        </w:rPr>
      </w:pPr>
    </w:p>
    <w:p w:rsidR="000769ED" w:rsidRPr="000769ED" w:rsidRDefault="000769ED" w:rsidP="000769ED">
      <w:pPr>
        <w:jc w:val="right"/>
        <w:rPr>
          <w:rFonts w:cs="Times New Roman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Pouvoir adjudicateur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Désignation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Téléphone : 0468376800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0468214389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E-Mail : christophe.vid</w:t>
      </w:r>
      <w:r>
        <w:rPr>
          <w:rFonts w:ascii="Verdana" w:hAnsi="Verdana" w:cs="Times New Roman"/>
          <w:sz w:val="20"/>
          <w:szCs w:val="24"/>
        </w:rPr>
        <w:t>al@stcyprien.fr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Statut : Commune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Activité(s) principale(s) : </w:t>
      </w:r>
    </w:p>
    <w:p w:rsidR="00000000" w:rsidRDefault="00E43495" w:rsidP="00E4349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Services généraux des administrations publiques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pouvoir adjudicateur n'agit pas pour le compte d'autres pouvoirs adjudicateurs.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Profil d'acheteur : </w:t>
      </w:r>
      <w:r>
        <w:rPr>
          <w:rFonts w:ascii="Verdana" w:hAnsi="Verdana" w:cs="Times New Roman"/>
          <w:sz w:val="20"/>
          <w:szCs w:val="24"/>
        </w:rPr>
        <w:t>https://www.marches-securises.fr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https://www.marches-securises.fr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L'avis concerne un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Objet du marché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Acquisition de véhicules et bornes de </w:t>
      </w:r>
      <w:r>
        <w:rPr>
          <w:rFonts w:ascii="Verdana" w:hAnsi="Verdana" w:cs="Times New Roman"/>
          <w:sz w:val="20"/>
          <w:szCs w:val="24"/>
        </w:rPr>
        <w:t>recharge pour les besoins de la commune de Saint-Cyprien.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Marché couvert par l'accord sur les marchés publics (AMP) :non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Forme du marché : Marché(s) ordinaire(s)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Type de marché de fournitures :Achat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Lieu principal de livraison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Commune de Saint-Cypri</w:t>
      </w:r>
      <w:r>
        <w:rPr>
          <w:rFonts w:ascii="Verdana" w:hAnsi="Verdana" w:cs="Times New Roman"/>
          <w:sz w:val="20"/>
          <w:szCs w:val="24"/>
        </w:rPr>
        <w:t>en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Code NUTS : FRJ15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global à la consultation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34100000-8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propre à chaque lot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n°1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34144900-7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n°2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34144900-7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lastRenderedPageBreak/>
        <w:t>lot n°3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34115000-6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n°4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34100000-8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n°5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34144900-7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n°6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31610000-5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sont traitées à prix unitaires.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global estimé du marché est de 183 000.00 euros HT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Quantité ou é</w:t>
      </w:r>
      <w:r>
        <w:rPr>
          <w:rFonts w:ascii="Verdana" w:hAnsi="Verdana" w:cs="Times New Roman"/>
          <w:sz w:val="20"/>
          <w:szCs w:val="24"/>
        </w:rPr>
        <w:t xml:space="preserve">tendue : 183 000 </w:t>
      </w:r>
      <w:r>
        <w:rPr>
          <w:rFonts w:ascii="Verdana" w:hAnsi="Verdana" w:cs="Times New Roman"/>
          <w:sz w:val="20"/>
          <w:szCs w:val="24"/>
        </w:rPr>
        <w:t>€</w:t>
      </w:r>
      <w:r>
        <w:rPr>
          <w:rFonts w:ascii="Verdana" w:hAnsi="Verdana" w:cs="Times New Roman"/>
          <w:sz w:val="20"/>
          <w:szCs w:val="24"/>
        </w:rPr>
        <w:t xml:space="preserve"> HT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Dévolution en marchés séparés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Informations sur les lots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n°1 Fourgonnette électrique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n°2 Fourgon électrique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n°3 Ampliroll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n°4 Fourgon diesel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n°5 Compacte électrique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</w:t>
      </w:r>
      <w:r>
        <w:rPr>
          <w:rFonts w:ascii="Verdana" w:hAnsi="Verdana" w:cs="Times New Roman"/>
          <w:b/>
          <w:sz w:val="20"/>
          <w:szCs w:val="24"/>
        </w:rPr>
        <w:t>6 Bornes de recharges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variantes exigées et les variantes ne sont pas autorisées.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candidats peuvent présenter des offres pour tous les lots.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retenue de garantie.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n°1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</w:t>
      </w:r>
      <w:r>
        <w:rPr>
          <w:rFonts w:ascii="Verdana" w:hAnsi="Verdana" w:cs="Times New Roman"/>
          <w:sz w:val="20"/>
          <w:szCs w:val="24"/>
        </w:rPr>
        <w:t xml:space="preserve"> possible. A minima, son montant est égal à 5 % du montantdu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n°2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possible. A minima, son montant est égal à 5 % du montantdu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Il n'est </w:t>
      </w:r>
      <w:r>
        <w:rPr>
          <w:rFonts w:ascii="Verdana" w:hAnsi="Verdana" w:cs="Times New Roman"/>
          <w:sz w:val="20"/>
          <w:szCs w:val="24"/>
        </w:rPr>
        <w:t>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n°3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possible. A minima, son montant est égal à 5 % du montantdu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n°4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</w:t>
      </w:r>
      <w:r>
        <w:rPr>
          <w:rFonts w:ascii="Verdana" w:hAnsi="Verdana" w:cs="Times New Roman"/>
          <w:sz w:val="20"/>
          <w:szCs w:val="24"/>
        </w:rPr>
        <w:t>avance obligatoire est possible. A minima, son montant est égal à 5 % du montantdu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n°5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possible. A minima, son montant est égal à 5 % du montantdu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n°6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L'avance obligatoire est possible. A minima, son montant est égal à 5 % du mon</w:t>
      </w:r>
      <w:r>
        <w:rPr>
          <w:rFonts w:ascii="Verdana" w:hAnsi="Verdana" w:cs="Times New Roman"/>
          <w:sz w:val="20"/>
          <w:szCs w:val="24"/>
        </w:rPr>
        <w:t>tantdu marché.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Interdiction de soumissionner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L'acheteur, en vertu des articles L2141-7 à L2141-11 du code de la commande publique, peut exclure les candidatures se trouvant dans les situat</w:t>
      </w:r>
      <w:r>
        <w:rPr>
          <w:rFonts w:ascii="Verdana" w:hAnsi="Verdana" w:cs="Times New Roman"/>
          <w:sz w:val="20"/>
          <w:szCs w:val="24"/>
        </w:rPr>
        <w:t>ions qui y sont décrites, en particulier dans les cas qui suivent, sous réserve que dans un délai de 2 jours à compter de la réception d'un courrier l'y invitant, le candidat démontre qu'il a pris les mesures nécessaires pour corriger les manquements qui l</w:t>
      </w:r>
      <w:r>
        <w:rPr>
          <w:rFonts w:ascii="Verdana" w:hAnsi="Verdana" w:cs="Times New Roman"/>
          <w:sz w:val="20"/>
          <w:szCs w:val="24"/>
        </w:rPr>
        <w:t>ui sont reprochés et, le cas échéant, que sa participation à la procédure de passation du marché public n'est pas susceptible de porter atteinte à l'égalité de traitement.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au cours des trois années précédentes, ont dû v</w:t>
      </w:r>
      <w:r>
        <w:rPr>
          <w:rFonts w:ascii="Verdana" w:hAnsi="Verdana" w:cs="Times New Roman"/>
          <w:sz w:val="20"/>
          <w:szCs w:val="24"/>
        </w:rPr>
        <w:t>erser des dommages et intérêts, ont été sanctionnées par une résiliation ou ont fait l'objet d'une sanction comparable du fait d'un manquement grave ou persistant à leurs obligations contractuelles lors de l'exécution d'un marché public antérieur.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</w:t>
      </w:r>
      <w:r>
        <w:rPr>
          <w:rFonts w:ascii="Verdana" w:hAnsi="Verdana" w:cs="Times New Roman"/>
          <w:sz w:val="20"/>
          <w:szCs w:val="24"/>
        </w:rPr>
        <w:t>ur exclut les personnes à l'égard desquelles l'acheteur dispose d'éléments suffisamment probants ou constituant un faisceau d'indices graves, sérieux et concordants pour en déduire qu'elles ont conclu une entente avec d'autres opérateurs économiques en vue</w:t>
      </w:r>
      <w:r>
        <w:rPr>
          <w:rFonts w:ascii="Verdana" w:hAnsi="Verdana" w:cs="Times New Roman"/>
          <w:sz w:val="20"/>
          <w:szCs w:val="24"/>
        </w:rPr>
        <w:t xml:space="preserve"> de fausser la concurrence.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Présentation de candidature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Dépôt classique: La candidature peut être faite au moyen des formulaires DC1 et DC2 (formulaires à jour sur le site http://www.economie.gouv.fr/daj/formulaires-declaration-du-candidat) ou du DUME (</w:t>
      </w:r>
      <w:r>
        <w:rPr>
          <w:rFonts w:ascii="Verdana" w:hAnsi="Verdana" w:cs="Times New Roman"/>
          <w:sz w:val="20"/>
          <w:szCs w:val="24"/>
        </w:rPr>
        <w:t>document unique de marché européen, voir site :https://dume.chorus-pro.gouv.fr/).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participation et moyens de preuve acceptables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documents et renseignements demandés par l'acheteur aux fins de vérification de l'aptitude à exercer l'acti</w:t>
      </w:r>
      <w:r>
        <w:rPr>
          <w:rFonts w:ascii="Verdana" w:hAnsi="Verdana" w:cs="Times New Roman"/>
          <w:sz w:val="20"/>
          <w:szCs w:val="24"/>
        </w:rPr>
        <w:t xml:space="preserve">vité professionnelle, de la capacité économique et financière et des capacités techniques et professionnelles du candidat sont: </w:t>
      </w:r>
    </w:p>
    <w:p w:rsidR="00000000" w:rsidRDefault="00E43495">
      <w:pPr>
        <w:autoSpaceDE w:val="0"/>
        <w:autoSpaceDN w:val="0"/>
        <w:adjustRightInd w:val="0"/>
        <w:spacing w:before="100" w:after="100" w:line="240" w:lineRule="auto"/>
        <w:ind w:left="58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économique et financière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Indications concernant le chiffre d'affaires annuel général sur 3 ans.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co</w:t>
      </w:r>
      <w:r>
        <w:rPr>
          <w:rFonts w:ascii="Verdana" w:hAnsi="Verdana" w:cs="Times New Roman"/>
          <w:sz w:val="20"/>
          <w:szCs w:val="24"/>
        </w:rPr>
        <w:t>ncernant le montant couvert par l'assurance pour risques professionnels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technique et professionnelle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Réfé</w:t>
      </w:r>
      <w:r>
        <w:rPr>
          <w:rFonts w:ascii="Verdana" w:hAnsi="Verdana" w:cs="Times New Roman"/>
          <w:sz w:val="20"/>
          <w:szCs w:val="24"/>
        </w:rPr>
        <w:t>rences des principales fournitures ou des principaux services fournis sur 3 ans.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Titres d'études et professionnels exigés du prestataire de services ou du contractant lui-même</w:t>
      </w:r>
    </w:p>
    <w:p w:rsidR="00000000" w:rsidRDefault="00E43495" w:rsidP="00E4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de la part du marché que l'opérateur économique a éventuellemen</w:t>
      </w:r>
      <w:r>
        <w:rPr>
          <w:rFonts w:ascii="Verdana" w:hAnsi="Verdana" w:cs="Times New Roman"/>
          <w:sz w:val="20"/>
          <w:szCs w:val="24"/>
        </w:rPr>
        <w:t>t l'intention de sous-traiter.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Procédure :</w:t>
      </w:r>
      <w:r>
        <w:rPr>
          <w:rFonts w:ascii="Verdana" w:hAnsi="Verdana" w:cs="Times New Roman"/>
          <w:sz w:val="20"/>
          <w:szCs w:val="24"/>
        </w:rPr>
        <w:t xml:space="preserve"> Appel d'offres ouvert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Critères d'attribution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classement des offres et le choix du/des attributaire(s) sont fondés sur l'offre économiquement la plus avantageuse appréciée en fonction des critères pondérés é</w:t>
      </w:r>
      <w:r>
        <w:rPr>
          <w:rFonts w:ascii="Verdana" w:hAnsi="Verdana" w:cs="Times New Roman"/>
          <w:sz w:val="20"/>
          <w:szCs w:val="24"/>
        </w:rPr>
        <w:t>noncés ci-dessous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1.</w:t>
      </w:r>
      <w:r>
        <w:rPr>
          <w:rFonts w:ascii="Verdana" w:hAnsi="Verdana" w:cs="Times New Roman"/>
          <w:sz w:val="20"/>
          <w:szCs w:val="24"/>
        </w:rPr>
        <w:t xml:space="preserve"> Critère prix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pondéré à 50 sur 100 points.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Prix des véhicules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2.</w:t>
      </w:r>
      <w:r>
        <w:rPr>
          <w:rFonts w:ascii="Verdana" w:hAnsi="Verdana" w:cs="Times New Roman"/>
          <w:sz w:val="20"/>
          <w:szCs w:val="24"/>
        </w:rPr>
        <w:t xml:space="preserve"> Critère Valeur technique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pondéré à 50 sur 100 points.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Valeur technique des véhicules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Renseignements d'ordre administratif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Numéro de réfé</w:t>
      </w:r>
      <w:r>
        <w:rPr>
          <w:rFonts w:ascii="Verdana" w:hAnsi="Verdana" w:cs="Times New Roman"/>
          <w:sz w:val="20"/>
          <w:szCs w:val="24"/>
        </w:rPr>
        <w:t>rence du marché : 21FO050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La présente consultation est une consultation initiale.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d'envoi du présent avis à la publication :</w:t>
      </w:r>
      <w:r>
        <w:rPr>
          <w:rFonts w:ascii="Verdana" w:hAnsi="Verdana" w:cs="Times New Roman"/>
          <w:sz w:val="20"/>
          <w:szCs w:val="24"/>
        </w:rPr>
        <w:t xml:space="preserve"> 06/07/2021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limite de réception des offres :</w:t>
      </w:r>
      <w:r>
        <w:rPr>
          <w:rFonts w:ascii="Verdana" w:hAnsi="Verdana" w:cs="Times New Roman"/>
          <w:sz w:val="20"/>
          <w:szCs w:val="24"/>
        </w:rPr>
        <w:t xml:space="preserve"> 02/09/2021 à 15:00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soumissionnaire est tenu de maintenir son offre pendant</w:t>
      </w:r>
      <w:r>
        <w:rPr>
          <w:rFonts w:ascii="Verdana" w:hAnsi="Verdana" w:cs="Times New Roman"/>
          <w:sz w:val="20"/>
          <w:szCs w:val="24"/>
        </w:rPr>
        <w:t xml:space="preserve"> un délai de 90 jours à compter de la date limite de réception des offres.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Délivrance du DCE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dossier de consultation est téléchargeable sur le profil d'acheteur.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Modalités essentielles de financement et de paiement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 délai global de paiement des </w:t>
      </w:r>
      <w:r>
        <w:rPr>
          <w:rFonts w:ascii="Verdana" w:hAnsi="Verdana" w:cs="Times New Roman"/>
          <w:sz w:val="20"/>
          <w:szCs w:val="24"/>
        </w:rPr>
        <w:t>prestations est fixé à 30 jours.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Modalités de financement des prestations : Les dépenses effectuées au titre du présent marché seront imputées sur le Budget de la Commune de Saint-Cyprien au titre de l'exercice 2021 et suivants..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Avis périodique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Il ne </w:t>
      </w:r>
      <w:r>
        <w:rPr>
          <w:rFonts w:ascii="Verdana" w:hAnsi="Verdana" w:cs="Times New Roman"/>
          <w:sz w:val="20"/>
          <w:szCs w:val="24"/>
        </w:rPr>
        <w:t>s'agit pas d'un marché périodique.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Forme juridique que devra revêtir le groupement d'opérateurs économiques attributaire du marché :</w:t>
      </w:r>
      <w:r>
        <w:rPr>
          <w:rFonts w:ascii="Verdana" w:hAnsi="Verdana" w:cs="Times New Roman"/>
          <w:sz w:val="20"/>
          <w:szCs w:val="24"/>
        </w:rPr>
        <w:t xml:space="preserve"> Après l'attribution du marché, la personne signataire du marché pourra exiger que le titulaire adopte la forme juridique s</w:t>
      </w:r>
      <w:r>
        <w:rPr>
          <w:rFonts w:ascii="Verdana" w:hAnsi="Verdana" w:cs="Times New Roman"/>
          <w:sz w:val="20"/>
          <w:szCs w:val="24"/>
        </w:rPr>
        <w:t>uivante : groupement solidaire.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même entreprise ne peut pas présenter pour le marché ou un de ses lots plusieurs offres, en agissant à la fois :</w:t>
      </w:r>
    </w:p>
    <w:p w:rsidR="00000000" w:rsidRDefault="00E43495" w:rsidP="00E43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qualité</w:t>
      </w:r>
      <w:r>
        <w:rPr>
          <w:rFonts w:ascii="Verdana" w:hAnsi="Verdana" w:cs="Times New Roman"/>
          <w:sz w:val="20"/>
          <w:szCs w:val="24"/>
        </w:rPr>
        <w:t xml:space="preserve"> de candidat individuel et de membre d'un ou plusieurs groupements ;</w:t>
      </w:r>
    </w:p>
    <w:p w:rsidR="00000000" w:rsidRDefault="00E43495" w:rsidP="00E43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qualité de membre de plusieurs groupements.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Instance chargée des procédures de recours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06 rue Pitot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34000 Montpellier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</w:t>
      </w:r>
      <w:r>
        <w:rPr>
          <w:rFonts w:ascii="Verdana" w:hAnsi="Verdana" w:cs="Times New Roman"/>
          <w:sz w:val="20"/>
          <w:szCs w:val="24"/>
        </w:rPr>
        <w:t>l: 0467548100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0467548156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Courriel: greffe.ta-montpellier@juradm.fr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(URL): http://www.montpellier.tribunal-administratif.fr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Introduction des recours : </w:t>
      </w:r>
      <w:r>
        <w:rPr>
          <w:rFonts w:ascii="Verdana" w:hAnsi="Verdana" w:cs="Times New Roman"/>
          <w:sz w:val="20"/>
          <w:szCs w:val="24"/>
        </w:rPr>
        <w:t xml:space="preserve"> - Référé contractuel : conformément aux dispositions des L.551- 13 et R.551-7 du </w:t>
      </w:r>
      <w:r>
        <w:rPr>
          <w:rFonts w:ascii="Verdana" w:hAnsi="Verdana" w:cs="Times New Roman"/>
          <w:sz w:val="20"/>
          <w:szCs w:val="24"/>
        </w:rPr>
        <w:t>Code de la Justice Administrative, dans un délai :- de 31 jours suivant la publication d'un avis d'attribution du marché public,- de 6 mois à compter du lendemain du jour de la conclusion du contrat en l'absence de publication d'un avis d'attribution. Ce r</w:t>
      </w:r>
      <w:r>
        <w:rPr>
          <w:rFonts w:ascii="Verdana" w:hAnsi="Verdana" w:cs="Times New Roman"/>
          <w:sz w:val="20"/>
          <w:szCs w:val="24"/>
        </w:rPr>
        <w:t>ecours ne peut être exercé dans les cas suivants :- à l'égard des marchés publics dont la passation n'est pas soumise à une obligation de publicité préalable lorsque le pouvoir adjudicateur a, avant la conclusion du contrat, rendu publique son intention de</w:t>
      </w:r>
      <w:r>
        <w:rPr>
          <w:rFonts w:ascii="Verdana" w:hAnsi="Verdana" w:cs="Times New Roman"/>
          <w:sz w:val="20"/>
          <w:szCs w:val="24"/>
        </w:rPr>
        <w:t xml:space="preserve"> le conclure et observé un délai de onze jours après cette publication,- à l'égard des marchés publics soumis à publicité préalable auxquels ne s'applique pas l'obligation de communiquer la décision d'attribution aux candidats non retenus (marchés à procéd</w:t>
      </w:r>
      <w:r>
        <w:rPr>
          <w:rFonts w:ascii="Verdana" w:hAnsi="Verdana" w:cs="Times New Roman"/>
          <w:sz w:val="20"/>
          <w:szCs w:val="24"/>
        </w:rPr>
        <w:t>ure adaptée) lorsque le pouvoir adjudicateur a, avant la conclusion du contrat, rendu publique son intention de le conclure et observé un délai de onze jours après cette publication,- par les demandeurs ayant fait usage du référé précontractuel dès lors qu</w:t>
      </w:r>
      <w:r>
        <w:rPr>
          <w:rFonts w:ascii="Verdana" w:hAnsi="Verdana" w:cs="Times New Roman"/>
          <w:sz w:val="20"/>
          <w:szCs w:val="24"/>
        </w:rPr>
        <w:t xml:space="preserve">e le pouvoir adjudicateur a respecté la suspension prévue à l'article L. 551-4 du code de justice administrative et s'est conformé à la décision juridictionnelle rendue sur ce recours.- Recours en excès de pouvoir : conformément aux </w:t>
      </w:r>
      <w:r>
        <w:rPr>
          <w:rFonts w:ascii="Verdana" w:hAnsi="Verdana" w:cs="Times New Roman"/>
          <w:sz w:val="20"/>
          <w:szCs w:val="24"/>
        </w:rPr>
        <w:lastRenderedPageBreak/>
        <w:t>dispositions de l'artic</w:t>
      </w:r>
      <w:r>
        <w:rPr>
          <w:rFonts w:ascii="Verdana" w:hAnsi="Verdana" w:cs="Times New Roman"/>
          <w:sz w:val="20"/>
          <w:szCs w:val="24"/>
        </w:rPr>
        <w:t>le R.421-1 du Code de la Justice Administrative dans un délai de deux mois à compter de la notification de la décision d'attribution ou de rejet.- Recours de plein contentieux : conformément à l'article R 421-1 du Code de la Justice Administrative et à l'a</w:t>
      </w:r>
      <w:r>
        <w:rPr>
          <w:rFonts w:ascii="Verdana" w:hAnsi="Verdana" w:cs="Times New Roman"/>
          <w:sz w:val="20"/>
          <w:szCs w:val="24"/>
        </w:rPr>
        <w:t>rrêt du Conseil d'Etat du 4 avril 2014, tout tiers justifiant d'un intérêt lésé peut former un recours en pleine juridiction, dans un délai de deux mois à compter de la publicité annonçant la conclusion du marché public.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remise des candidat</w:t>
      </w:r>
      <w:r>
        <w:rPr>
          <w:rFonts w:ascii="Verdana" w:hAnsi="Verdana" w:cs="Times New Roman"/>
          <w:b/>
          <w:sz w:val="20"/>
          <w:szCs w:val="24"/>
        </w:rPr>
        <w:t>ures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transmission des candidatures se fait obligatoirement par voie électronique via le profil d'acheteur : https://www.marches-securises.fr.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 mode d'emploi est disponible sur le site. Les frais d'accès au réseau sont à la charge des candidats.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rem</w:t>
      </w:r>
      <w:r>
        <w:rPr>
          <w:rFonts w:ascii="Verdana" w:hAnsi="Verdana" w:cs="Times New Roman"/>
          <w:sz w:val="20"/>
          <w:szCs w:val="24"/>
        </w:rPr>
        <w:t>ise des candidatures contre récépissé n'est pas autorisée.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présentation d'une candidature sous forme d'un support physique électronique n'est pas autorisée.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L'envoi des candidatures par voie postale n'est pas autorisé.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Signature des documents transmis par le candidat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exige que les opérateurs économiques signent électroniquement le DUME (électronique) ou documents équivalents (DC1 et DC2).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e</w:t>
      </w:r>
      <w:r>
        <w:rPr>
          <w:rFonts w:ascii="Verdana" w:hAnsi="Verdana" w:cs="Times New Roman"/>
          <w:sz w:val="20"/>
          <w:szCs w:val="24"/>
        </w:rPr>
        <w:t>xigé des candidats que l'acte d'engagement soit signé(e) électroniquement dès le stade de la réception des offres. L'absence de signature électronique entraine l'irrégularité de l'offre.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cas de groupement l'acte d'engagement sera signé(e) par chaque mem</w:t>
      </w:r>
      <w:r>
        <w:rPr>
          <w:rFonts w:ascii="Verdana" w:hAnsi="Verdana" w:cs="Times New Roman"/>
          <w:sz w:val="20"/>
          <w:szCs w:val="24"/>
        </w:rPr>
        <w:t>bre du groupement ou par le mandataire dument habilité par un document d'habilitation (copie de la convention de groupement ou acte spécifique d'habilitation).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Ce document d'habilitation devra être fourni, signé de façon électronique par les autres membres</w:t>
      </w:r>
      <w:r>
        <w:rPr>
          <w:rFonts w:ascii="Verdana" w:hAnsi="Verdana" w:cs="Times New Roman"/>
          <w:sz w:val="20"/>
          <w:szCs w:val="24"/>
        </w:rPr>
        <w:t xml:space="preserve"> du groupement, dès le stade de la réception des candidatures.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L'obligation de signature électronique se fait conformément aux conditions fixées par l'arrêté du 22 mars 2019 relatif à la signature électronique des contrats de la commande publique.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Autres I</w:t>
      </w:r>
      <w:r>
        <w:rPr>
          <w:rFonts w:ascii="Verdana" w:hAnsi="Verdana" w:cs="Times New Roman"/>
          <w:b/>
          <w:sz w:val="20"/>
          <w:szCs w:val="24"/>
        </w:rPr>
        <w:t>nformations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Les candidats ne sont pas tenus de fournir les documents et renseignements qu'ils ont déjà transmis dans une précédente consultation et qui demeurent valables.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Renseignements complémentaires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obtenir tous les renseignements complémentair</w:t>
      </w:r>
      <w:r>
        <w:rPr>
          <w:rFonts w:ascii="Verdana" w:hAnsi="Verdana" w:cs="Times New Roman"/>
          <w:sz w:val="20"/>
          <w:szCs w:val="24"/>
        </w:rPr>
        <w:t>es qui leur seraient nécessaires au cours de leur étude, les candidats devront faire parvenir une demande au moyen du profil d'acheteur au plus tard 7 jours avant la date limite de réception des plis.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Adresse auprès de laquelle des renseignements complém</w:t>
      </w:r>
      <w:r>
        <w:rPr>
          <w:rFonts w:ascii="Verdana" w:hAnsi="Verdana" w:cs="Times New Roman"/>
          <w:b/>
          <w:sz w:val="20"/>
          <w:szCs w:val="24"/>
        </w:rPr>
        <w:t xml:space="preserve">entaires peuvent être obtenus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:rsidR="00000000" w:rsidRDefault="00E43495" w:rsidP="00E43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les renseignements d'ordre administratif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 / MP MCR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Mme Marie-Claude Ramond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Hôtel de ville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0468376800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0468214389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mcramond@mairie-saint-cyprien.com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:rsidR="00000000" w:rsidRDefault="00E43495" w:rsidP="00E43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pour les renseignements d'ordre technique :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 / Services techniques BD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M. Benjamin Daniel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CTM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rue Courteline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06.80.34.48.11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04.30.95.05.20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bdaniel@mairie-saint-cyprien.com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:rsidR="00000000" w:rsidRDefault="00E43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92B4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3AE2"/>
    <w:rsid w:val="000769ED"/>
    <w:rsid w:val="002A3AE2"/>
    <w:rsid w:val="00347E23"/>
    <w:rsid w:val="00A507EE"/>
    <w:rsid w:val="00AC62D9"/>
    <w:rsid w:val="00DB6643"/>
    <w:rsid w:val="00E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25DA83A-9678-477E-948D-A673CF8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018A-93CA-45BF-AE3B-DF77DDDD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9900</Characters>
  <Application>Microsoft Office Word</Application>
  <DocSecurity>4</DocSecurity>
  <Lines>82</Lines>
  <Paragraphs>23</Paragraphs>
  <ScaleCrop>false</ScaleCrop>
  <Company>HP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Camos</dc:creator>
  <cp:keywords/>
  <dc:description>Created by the HTML-to-RTF Pro DLL .Net 5.1.10.31</dc:description>
  <cp:lastModifiedBy>christophe vidal</cp:lastModifiedBy>
  <cp:revision>2</cp:revision>
  <dcterms:created xsi:type="dcterms:W3CDTF">2021-07-06T13:23:00Z</dcterms:created>
  <dcterms:modified xsi:type="dcterms:W3CDTF">2021-07-06T13:23:00Z</dcterms:modified>
</cp:coreProperties>
</file>