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9ED" w:rsidRDefault="00D6246E" w:rsidP="002A3AE2">
      <w:pPr>
        <w:tabs>
          <w:tab w:val="center" w:pos="4536"/>
        </w:tabs>
        <w:jc w:val="center"/>
        <w:rPr>
          <w:rFonts w:cs="Times New Roman"/>
          <w:b/>
        </w:rPr>
      </w:pPr>
      <w:r>
        <w:rPr>
          <w:rFonts w:ascii="Times New Roman" w:hAnsi="Times New Roman" w:cs="Times New Roman"/>
          <w:sz w:val="24"/>
          <w:szCs w:val="24"/>
        </w:rPr>
        <w:t xml:space="preserve"> </w:t>
      </w:r>
      <w:r w:rsidR="004A6EC9">
        <w:rPr>
          <w:noProof/>
        </w:rPr>
        <w:pict>
          <v:roundrect id="Rectangle à coins arrondis 1" o:spid="_x0000_s1026" style="position:absolute;left:0;text-align:left;margin-left:98.65pt;margin-top:-10.85pt;width:297pt;height:42.75pt;z-index:-251658240;visibility:visible;mso-position-horizontal-relative:margin;mso-position-vertical-relative:text;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" fillcolor="#e2efd9 [665]" strokecolor="#1f4d78 [1604]" strokeweight="1pt">
            <v:fill color2="#e2efd9 [665]" rotate="t" colors="0 #838d7d;3932f #838d7d;31457f #e2f0d9" focus="100%" type="gradient"/>
            <v:stroke joinstyle="miter"/>
            <w10:wrap anchorx="margin"/>
          </v:roundrect>
        </w:pict>
      </w:r>
      <w:r>
        <w:rPr>
          <w:noProof/>
        </w:rPr>
        <w:drawing>
          <wp:anchor distT="0" distB="0" distL="114300" distR="114300" simplePos="0" relativeHeight="251657216" behindDoc="1" locked="0" layoutInCell="1" allowOverlap="1">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rsidR="00347E23" w:rsidRDefault="00347E23" w:rsidP="000769ED">
      <w:pPr>
        <w:jc w:val="right"/>
        <w:rPr>
          <w:rFonts w:cs="Times New Roman"/>
        </w:rPr>
      </w:pPr>
    </w:p>
    <w:p w:rsidR="000769ED" w:rsidRDefault="000769ED" w:rsidP="000769ED">
      <w:pPr>
        <w:jc w:val="right"/>
        <w:rPr>
          <w:rFonts w:cs="Times New Roman"/>
        </w:rPr>
      </w:pPr>
    </w:p>
    <w:p w:rsidR="000769ED" w:rsidRPr="000769ED" w:rsidRDefault="000769ED" w:rsidP="000769ED">
      <w:pPr>
        <w:jc w:val="right"/>
        <w:rPr>
          <w:rFonts w:cs="Times New Roman"/>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Epic Office du Tourisme</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Quai Arthur Rimbaud</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0468210133</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0468219833</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http://www.tourisme-saint-cyprien.com</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christophe.vidal@stcyprien.fr</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Etablissement public local à caractère industriel et commercial</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rsidR="00E363C9" w:rsidRDefault="00D6246E" w:rsidP="00D20603">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rsidR="00E363C9" w:rsidRDefault="00D6246E" w:rsidP="00D20603">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Affaires économiques et financières</w:t>
      </w:r>
    </w:p>
    <w:p w:rsidR="00E363C9" w:rsidRDefault="00D6246E" w:rsidP="00D20603">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Loisirs, culture et religion</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rsidR="00D6246E" w:rsidRDefault="00D6246E">
      <w:pPr>
        <w:autoSpaceDE w:val="0"/>
        <w:autoSpaceDN w:val="0"/>
        <w:adjustRightInd w:val="0"/>
        <w:spacing w:after="0" w:line="240" w:lineRule="auto"/>
        <w:jc w:val="both"/>
        <w:rPr>
          <w:rFonts w:ascii="Verdana" w:hAnsi="Verdana" w:cs="Times New Roman"/>
          <w:b/>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public de maitrise d'œuvre pour la rénovation du complexe aquatique du Camping Municipal</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 :non</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services : Services courants hors services sociaux, spécifiques et juridiques</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 partie de l'enveloppe financière affectée aux travaux (Co) par le maître de l'ouvrage est égale à </w:t>
      </w:r>
      <w:r>
        <w:rPr>
          <w:rFonts w:ascii="Verdana" w:hAnsi="Verdana" w:cs="Times New Roman"/>
          <w:b/>
          <w:sz w:val="20"/>
          <w:szCs w:val="24"/>
        </w:rPr>
        <w:t>3</w:t>
      </w:r>
      <w:r w:rsidR="004A6EC9">
        <w:rPr>
          <w:rFonts w:ascii="Verdana" w:hAnsi="Verdana" w:cs="Times New Roman"/>
          <w:b/>
          <w:sz w:val="20"/>
          <w:szCs w:val="24"/>
        </w:rPr>
        <w:t>71 </w:t>
      </w:r>
      <w:r>
        <w:rPr>
          <w:rFonts w:ascii="Verdana" w:hAnsi="Verdana" w:cs="Times New Roman"/>
          <w:b/>
          <w:sz w:val="20"/>
          <w:szCs w:val="24"/>
        </w:rPr>
        <w:t>000</w:t>
      </w:r>
      <w:r w:rsidR="004A6EC9">
        <w:rPr>
          <w:rFonts w:ascii="Verdana" w:hAnsi="Verdana" w:cs="Times New Roman"/>
          <w:b/>
          <w:sz w:val="20"/>
          <w:szCs w:val="24"/>
        </w:rPr>
        <w:t xml:space="preserve"> </w:t>
      </w:r>
      <w:bookmarkStart w:id="0" w:name="_GoBack"/>
      <w:bookmarkEnd w:id="0"/>
      <w:r>
        <w:rPr>
          <w:rFonts w:ascii="Verdana" w:hAnsi="Verdana" w:cs="Times New Roman"/>
          <w:b/>
          <w:sz w:val="20"/>
          <w:szCs w:val="24"/>
        </w:rPr>
        <w:t>euros hors taxes</w:t>
      </w:r>
      <w:r>
        <w:rPr>
          <w:rFonts w:ascii="Verdana" w:hAnsi="Verdana" w:cs="Times New Roman"/>
          <w:sz w:val="20"/>
          <w:szCs w:val="24"/>
        </w:rPr>
        <w:t>.</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71222000-0</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forfaitaires.</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45 000.00 euros HT</w:t>
      </w:r>
    </w:p>
    <w:p w:rsidR="00D6246E" w:rsidRDefault="00D6246E">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La mission confiée au maître d'oeuvre n'est pas une mission témoin.</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mission est constituée des éléments suivants :</w:t>
      </w:r>
    </w:p>
    <w:p w:rsidR="00E363C9" w:rsidRDefault="00D6246E" w:rsidP="00D20603">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Avant-projet (AVP) ;</w:t>
      </w:r>
    </w:p>
    <w:p w:rsidR="00E363C9" w:rsidRDefault="00D6246E" w:rsidP="00D20603">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Etudes de projet (PRO) ;</w:t>
      </w:r>
    </w:p>
    <w:p w:rsidR="00E363C9" w:rsidRDefault="00D6246E" w:rsidP="00D20603">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Assistance au maître de l'ouvrage pour la passation des contrats de travaux (ACT) ;</w:t>
      </w:r>
    </w:p>
    <w:p w:rsidR="00E363C9" w:rsidRDefault="00D6246E" w:rsidP="00D20603">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Visa des études d'exécution et de synthèse établies par les entreprises (VISA) ;</w:t>
      </w:r>
    </w:p>
    <w:p w:rsidR="00E363C9" w:rsidRDefault="00D6246E" w:rsidP="00D20603">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Direction d'exécution des contrats de travaux (DET) ;</w:t>
      </w:r>
    </w:p>
    <w:p w:rsidR="00E363C9" w:rsidRDefault="00D6246E" w:rsidP="00D20603">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Ordonnancement,coordination et pilotage (OPC) ;</w:t>
      </w:r>
    </w:p>
    <w:p w:rsidR="00E363C9" w:rsidRDefault="00D6246E" w:rsidP="00D20603">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Assistance lors des opérations de réception et pendant la période de garantie de parfait achèvement (AOR)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rsidR="00E363C9" w:rsidRDefault="00D6246E">
      <w:pPr>
        <w:autoSpaceDE w:val="0"/>
        <w:autoSpaceDN w:val="0"/>
        <w:adjustRightInd w:val="0"/>
        <w:spacing w:after="0" w:line="240" w:lineRule="auto"/>
        <w:jc w:val="both"/>
        <w:rPr>
          <w:rFonts w:ascii="Verdana" w:hAnsi="Verdana" w:cs="Times New Roman"/>
          <w:i/>
          <w:sz w:val="20"/>
          <w:szCs w:val="24"/>
        </w:rPr>
      </w:pPr>
      <w:r>
        <w:rPr>
          <w:rFonts w:ascii="Verdana" w:hAnsi="Verdana" w:cs="Times New Roman"/>
          <w:i/>
          <w:sz w:val="20"/>
          <w:szCs w:val="24"/>
        </w:rPr>
        <w:t>La mission comprend aussi les éléments suivants:</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EP :</w:t>
      </w:r>
      <w:r>
        <w:rPr>
          <w:rFonts w:ascii="Verdana" w:hAnsi="Verdana" w:cs="Times New Roman"/>
          <w:sz w:val="20"/>
          <w:szCs w:val="24"/>
        </w:rPr>
        <w:t xml:space="preserve">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Réalisation de la mission Études Préliminaires</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VISA :</w:t>
      </w:r>
      <w:r>
        <w:rPr>
          <w:rFonts w:ascii="Verdana" w:hAnsi="Verdana" w:cs="Times New Roman"/>
          <w:sz w:val="20"/>
          <w:szCs w:val="24"/>
        </w:rPr>
        <w:t xml:space="preserve">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Réalisation de la mission VISA</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Durée prévisionnelle du marché : 4 mois.</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L'avance obligatoire est applicable. A minima, son montant est égal à 5 % du montant du marché.</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marché public antérieur.</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participation préalable directe ou indirecte à la préparation de la procédure de passation du marché public, ont eu accès à des informations susceptibles de créer une distorsion de concurrence par rapport aux autres candidats, lorsqu'il ne peut être remédié à cette situation par d'autres moyens.</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à l'égard desquelles l'acheteur dispose d'éléments suffisamment probants ou constituant un faisceau d'indices graves, sérieux et concordants pour en déduire qu'elles ont conclu une entente avec d'autres opérateurs économiques en vue de fausser la concurrence.</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public ou est susceptible d'en influencer l'issue a, directement ou indirectement, un intérêt financier, économique ou tout autre intérêt personnel qui pourrait compromettre son impartialité ou son indépendance dans le cadre de la procédure de passation du marché public.</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Présentation de candidature :</w:t>
      </w:r>
      <w:r>
        <w:rPr>
          <w:rFonts w:ascii="Verdana" w:hAnsi="Verdana" w:cs="Times New Roman"/>
          <w:sz w:val="20"/>
          <w:szCs w:val="24"/>
        </w:rPr>
        <w:t xml:space="preserve">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 le site http://www.economie.gouv.fr/daj/formulaires-declaration-du-candidat) ou du DUME (document unique de marché européen, voir site :https://dume.chorus-pro.gouv.fr/).</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sont: </w:t>
      </w:r>
    </w:p>
    <w:p w:rsidR="00E363C9" w:rsidRDefault="00D6246E">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rsidR="00E363C9" w:rsidRDefault="00D6246E" w:rsidP="00D20603">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rsidR="00E363C9" w:rsidRDefault="00D6246E" w:rsidP="00D20603">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rsidR="00E363C9" w:rsidRDefault="00D6246E" w:rsidP="00D20603">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rsidR="00E363C9" w:rsidRDefault="00D6246E" w:rsidP="00D20603">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rsidR="00E363C9" w:rsidRDefault="00D6246E" w:rsidP="00D20603">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rsidR="00E363C9" w:rsidRDefault="00D6246E" w:rsidP="00D20603">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Acceptation de références en fournitures et services datant de plus de trois ans</w:t>
      </w:r>
    </w:p>
    <w:p w:rsidR="00E363C9" w:rsidRDefault="00D6246E" w:rsidP="00D20603">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Description de l'équipement technique et des mesures employées par l'opérateur économique pour s'assurer de la qualité et indication des moyens d'étude et de recherche</w:t>
      </w:r>
    </w:p>
    <w:p w:rsidR="00E363C9" w:rsidRDefault="00D6246E" w:rsidP="00D20603">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rsidR="00E363C9" w:rsidRDefault="00D6246E" w:rsidP="00D20603">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L'architecte devra être titulaire d'un titre d'architecte ou d'un titre équivalent délivré par un Etat de l'union européenne, il devra avoir la capacité juridique de déposer un permis de construire conformément au droit de l'urbanisme français</w:t>
      </w:r>
    </w:p>
    <w:p w:rsidR="00E363C9" w:rsidRDefault="00D6246E" w:rsidP="00D20603">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par l'opérateur économique des mesures de gestion environnementale que celui-ci pourra appliquer lors de l'exécution du marché.</w:t>
      </w:r>
    </w:p>
    <w:p w:rsidR="00E363C9" w:rsidRDefault="00D6246E" w:rsidP="00D20603">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du marché</w:t>
      </w:r>
    </w:p>
    <w:p w:rsidR="00E363C9" w:rsidRDefault="00D6246E" w:rsidP="00D20603">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 pondéré à 50 sur 100 points.</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 pondéré à 50 sur 100 points.</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21MO057</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28/07/2021</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10/09/2021 à 15:00</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rsidR="00E363C9" w:rsidRDefault="00D6246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Modalités essentielles de financement et de paiement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annexe du Camping Municipal de Saint-Cyprien au titre de l'exercice 2021 et suivants..</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rsidR="00E363C9" w:rsidRDefault="00D6246E" w:rsidP="00D20603">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rsidR="00E363C9" w:rsidRDefault="00D6246E" w:rsidP="00D20603">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Justice Administrative, dans un délai :- de 31 jours suivant la publication d'un avis d'attribution du marché public,- de 6 mois à compter du lendemain du jour de la conclusion du contrat en l'absence de publication d'un avis d'attribution. Ce recours ne peut être exercé dans les cas suivants :- à l'égard des marchés publics dont la passation n'est pas soumise à une obligation de publicité préalable lorsque le pouvoir adjudicateur a, avant la conclusion du contrat, rendu publique son intention de le conclure et observé un délai de onze jours après cette publication,- à l'égard des marchés publics soumis à publicité préalable auxquels ne s'applique pas l'obligation de communiquer la décision d'attribution aux candidats non retenus (marchés à procédure adaptée) lorsque le pouvoir adjudicateur a, avant la conclusion du contrat, rendu publique son intention de le conclure et observé un délai de onze jours après cette publication,- par les demandeurs ayant fait usage du référé précontractuel dès lors que le pouvoir adjudicateur a respecté la suspension prévue à l'article L. 551-4 du code de justice administrative et s'est conformé à la décision juridictionnelle rendue sur ce recours.- Recours en excès de pouvoir : conformément aux dispositions de l'article R.421-1 du Code de la Justice Administrative dans un délai de deux mois à compter de la notification de la décision d'attribution ou de rejet.- Recours de plein contentieux : conformément à l'article R 421-1 du Code de la Justice Administrative et à l'arrêt du Conseil d'Etat du 4 avril 2014, tout tiers justifiant d'un intérêt lésé peut former un recours en pleine juridiction, dans un délai de deux mois à compter de la publicité annonçant la conclusion du marché public.</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Un mode d'emploi est disponible sur le site. Les frais d'accès au réseau sont à la charge des candidats.</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rsidR="00E363C9" w:rsidRDefault="00D6246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rsidR="00E363C9" w:rsidRDefault="00D6246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Conformément à l'article L2421-4 et L2421-5 du livre IV du code de la commande publique, le programme de l'opération et l'enveloppe financière prévisionnelle peuvent évoluer, par voie d'avenant, pendant les études d'avant projet.</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Qualification et niveau d'expérience exigé des candidats :</w:t>
      </w:r>
      <w:r>
        <w:rPr>
          <w:rFonts w:ascii="Verdana" w:hAnsi="Verdana" w:cs="Times New Roman"/>
          <w:sz w:val="20"/>
          <w:szCs w:val="24"/>
        </w:rPr>
        <w:t xml:space="preserve">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marché sera conclu avec un cabinet individuel polyvalent ou un groupement de cabinets.</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compétences obligatoires des candidats sont : VRD et Génie civil.</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avant le 01/09/2021.</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rsidR="00E363C9" w:rsidRDefault="00D6246E" w:rsidP="00D20603">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Epic Office du Tourisme</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Quai Arthur Rimbaud</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0468210133</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0468219833</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Adresse Internet : </w:t>
      </w:r>
      <w:hyperlink r:id="rId7" w:history="1">
        <w:r w:rsidRPr="008700EB">
          <w:rPr>
            <w:rStyle w:val="Lienhypertexte"/>
            <w:rFonts w:ascii="Verdana" w:hAnsi="Verdana" w:cs="Times New Roman"/>
            <w:sz w:val="20"/>
            <w:szCs w:val="24"/>
          </w:rPr>
          <w:t>http://www.tourisme-saint-cyprien.com</w:t>
        </w:r>
      </w:hyperlink>
    </w:p>
    <w:p w:rsidR="00D6246E" w:rsidRDefault="00D6246E">
      <w:pPr>
        <w:autoSpaceDE w:val="0"/>
        <w:autoSpaceDN w:val="0"/>
        <w:adjustRightInd w:val="0"/>
        <w:spacing w:after="0" w:line="240" w:lineRule="auto"/>
        <w:jc w:val="both"/>
        <w:rPr>
          <w:rFonts w:ascii="Verdana" w:hAnsi="Verdana" w:cs="Times New Roman"/>
          <w:sz w:val="20"/>
          <w:szCs w:val="24"/>
        </w:rPr>
      </w:pPr>
    </w:p>
    <w:p w:rsidR="00E363C9" w:rsidRDefault="00D6246E" w:rsidP="00D20603">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technique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Epic Office du Tourisme</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Quai Arthur Rimbaud</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66750 Saint-Cyprien</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0468210133</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0468219833</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s.poisson@campinglebosc.fr</w:t>
      </w:r>
    </w:p>
    <w:p w:rsidR="00E363C9" w:rsidRDefault="00D6246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http://www.tourisme-saint-cyprien.com</w:t>
      </w: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E363C9">
      <w:pPr>
        <w:autoSpaceDE w:val="0"/>
        <w:autoSpaceDN w:val="0"/>
        <w:adjustRightInd w:val="0"/>
        <w:spacing w:after="0" w:line="240" w:lineRule="auto"/>
        <w:jc w:val="both"/>
        <w:rPr>
          <w:rFonts w:ascii="Verdana" w:hAnsi="Verdana" w:cs="Times New Roman"/>
          <w:sz w:val="20"/>
          <w:szCs w:val="24"/>
        </w:rPr>
      </w:pPr>
    </w:p>
    <w:p w:rsidR="00E363C9" w:rsidRDefault="00E363C9">
      <w:pPr>
        <w:autoSpaceDE w:val="0"/>
        <w:autoSpaceDN w:val="0"/>
        <w:adjustRightInd w:val="0"/>
        <w:spacing w:after="0" w:line="240" w:lineRule="auto"/>
        <w:jc w:val="both"/>
        <w:rPr>
          <w:rFonts w:ascii="Verdana" w:hAnsi="Verdana" w:cs="Times New Roman"/>
          <w:sz w:val="20"/>
          <w:szCs w:val="24"/>
        </w:rPr>
      </w:pPr>
    </w:p>
    <w:sectPr w:rsidR="00E363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446E7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2A3AE2"/>
    <w:rsid w:val="000769ED"/>
    <w:rsid w:val="002A3AE2"/>
    <w:rsid w:val="00347E23"/>
    <w:rsid w:val="004A6EC9"/>
    <w:rsid w:val="00A507EE"/>
    <w:rsid w:val="00AC62D9"/>
    <w:rsid w:val="00D20603"/>
    <w:rsid w:val="00D6246E"/>
    <w:rsid w:val="00DB6643"/>
    <w:rsid w:val="00E36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93F28"/>
  <w14:defaultImageDpi w14:val="0"/>
  <w15:docId w15:val="{BE38B9A6-297A-4A71-AE59-30C2E613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6246E"/>
    <w:rPr>
      <w:color w:val="0563C1" w:themeColor="hyperlink"/>
      <w:u w:val="single"/>
    </w:rPr>
  </w:style>
  <w:style w:type="character" w:styleId="Mentionnonrsolue">
    <w:name w:val="Unresolved Mention"/>
    <w:basedOn w:val="Policepardfaut"/>
    <w:uiPriority w:val="99"/>
    <w:semiHidden/>
    <w:unhideWhenUsed/>
    <w:rsid w:val="00D62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urisme-saint-cyprie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65058-84FE-4179-A49F-4EAF0C89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2048</Words>
  <Characters>11268</Characters>
  <Application>Microsoft Office Word</Application>
  <DocSecurity>0</DocSecurity>
  <Lines>93</Lines>
  <Paragraphs>26</Paragraphs>
  <ScaleCrop>false</ScaleCrop>
  <Company>HP</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4</cp:revision>
  <dcterms:created xsi:type="dcterms:W3CDTF">2021-07-28T09:15:00Z</dcterms:created>
  <dcterms:modified xsi:type="dcterms:W3CDTF">2021-07-28T11:38:00Z</dcterms:modified>
</cp:coreProperties>
</file>