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A5C5" w14:textId="77777777" w:rsidR="000769ED" w:rsidRDefault="005357EC" w:rsidP="002A3AE2">
      <w:pPr>
        <w:tabs>
          <w:tab w:val="center" w:pos="4536"/>
        </w:tabs>
        <w:jc w:val="center"/>
        <w:rPr>
          <w:rFonts w:cs="Times New Roman"/>
          <w:b/>
        </w:rPr>
      </w:pPr>
      <w:r>
        <w:rPr>
          <w:rFonts w:ascii="Times New Roman" w:hAnsi="Times New Roman" w:cs="Times New Roman"/>
          <w:sz w:val="24"/>
          <w:szCs w:val="24"/>
        </w:rPr>
        <w:t xml:space="preserve"> </w:t>
      </w:r>
      <w:r w:rsidR="000A12AD">
        <w:rPr>
          <w:noProof/>
        </w:rPr>
        <w:pict w14:anchorId="0543573A">
          <v:roundrect id="Rectangle à coins arrondis 1" o:spid="_x0000_s1026" style="position:absolute;left:0;text-align:left;margin-left:98.65pt;margin-top:-10.85pt;width:297pt;height:42.75pt;z-index:-251658240;visibility:visible;mso-position-horizontal-relative:margin;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" fillcolor="#e2efd9 [665]" strokecolor="#1f4d78 [1604]" strokeweight="1pt">
            <v:fill color2="#e2efd9 [665]" rotate="t" colors="0 #838d7d;3932f #838d7d;31457f #e2f0d9" focus="100%" type="gradient"/>
            <v:stroke joinstyle="miter"/>
            <w10:wrap anchorx="margin"/>
          </v:roundrect>
        </w:pict>
      </w:r>
      <w:r>
        <w:rPr>
          <w:noProof/>
        </w:rPr>
        <w:drawing>
          <wp:anchor distT="0" distB="0" distL="114300" distR="114300" simplePos="0" relativeHeight="251657216" behindDoc="1" locked="0" layoutInCell="1" allowOverlap="1" wp14:anchorId="0376089E" wp14:editId="62353FE2">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1EFF56ED" w14:textId="77777777" w:rsidR="00347E23" w:rsidRDefault="00347E23" w:rsidP="000769ED">
      <w:pPr>
        <w:jc w:val="right"/>
        <w:rPr>
          <w:rFonts w:cs="Times New Roman"/>
        </w:rPr>
      </w:pPr>
    </w:p>
    <w:p w14:paraId="38368226" w14:textId="77777777" w:rsidR="000769ED" w:rsidRPr="000769ED" w:rsidRDefault="000769ED" w:rsidP="000769ED">
      <w:pPr>
        <w:jc w:val="right"/>
        <w:rPr>
          <w:rFonts w:cs="Times New Roman"/>
        </w:rPr>
      </w:pPr>
    </w:p>
    <w:p w14:paraId="1E2BAFD8" w14:textId="427EE75F" w:rsidR="00E671DB" w:rsidRDefault="005357EC">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197F0A0C" w14:textId="77777777" w:rsidR="000A12AD" w:rsidRDefault="000A12AD" w:rsidP="000A12AD">
      <w:pPr>
        <w:autoSpaceDE w:val="0"/>
        <w:autoSpaceDN w:val="0"/>
        <w:adjustRightInd w:val="0"/>
        <w:spacing w:after="0" w:line="240" w:lineRule="auto"/>
        <w:jc w:val="both"/>
        <w:rPr>
          <w:rFonts w:ascii="Verdana" w:hAnsi="Verdana" w:cs="Times New Roman"/>
          <w:sz w:val="20"/>
          <w:szCs w:val="24"/>
        </w:rPr>
      </w:pPr>
    </w:p>
    <w:p w14:paraId="0D05A240"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2C2E2E3E"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02B0D4D2"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4E13D07"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5FEF0CFC"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70D20F6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5A6369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148A0E76"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0F598E26"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79AF1401"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4C9F6026" w14:textId="77777777" w:rsidR="00E671DB" w:rsidRDefault="005357EC" w:rsidP="000A12AD">
      <w:pPr>
        <w:numPr>
          <w:ilvl w:val="0"/>
          <w:numId w:val="1"/>
        </w:numPr>
        <w:autoSpaceDE w:val="0"/>
        <w:autoSpaceDN w:val="0"/>
        <w:adjustRightInd w:val="0"/>
        <w:spacing w:before="100" w:after="0" w:line="240" w:lineRule="auto"/>
        <w:ind w:left="580" w:hanging="250"/>
        <w:jc w:val="both"/>
        <w:rPr>
          <w:rFonts w:ascii="Verdana" w:hAnsi="Verdana" w:cs="Times New Roman"/>
          <w:sz w:val="20"/>
          <w:szCs w:val="24"/>
        </w:rPr>
      </w:pPr>
      <w:r>
        <w:rPr>
          <w:rFonts w:ascii="Verdana" w:hAnsi="Verdana" w:cs="Times New Roman"/>
          <w:sz w:val="20"/>
          <w:szCs w:val="24"/>
        </w:rPr>
        <w:t>Services généraux des administrations publiques</w:t>
      </w:r>
    </w:p>
    <w:p w14:paraId="19388054"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5A9A09DB" w14:textId="77777777" w:rsidR="000A12AD" w:rsidRDefault="000A12AD" w:rsidP="000A12AD">
      <w:pPr>
        <w:autoSpaceDE w:val="0"/>
        <w:autoSpaceDN w:val="0"/>
        <w:adjustRightInd w:val="0"/>
        <w:spacing w:after="0" w:line="240" w:lineRule="auto"/>
        <w:jc w:val="both"/>
        <w:rPr>
          <w:rFonts w:ascii="Verdana" w:hAnsi="Verdana" w:cs="Times New Roman"/>
          <w:b/>
          <w:sz w:val="20"/>
          <w:szCs w:val="24"/>
        </w:rPr>
      </w:pPr>
    </w:p>
    <w:p w14:paraId="279FC6EC" w14:textId="39B11C5E"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379F0C40"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4F3BC53F"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430AEB03"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6F75C59B"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142ABF9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2BAF491E" w14:textId="4A3AEDB5"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Remplacement de la toiture des tennis couverts de grand stade avec fourniture et pose de panneaux photovoltaïques pour une puissance de 224,37 KWc en autoconsommation sur la toiture des tennis couvert de Grand Stade.</w:t>
      </w:r>
    </w:p>
    <w:p w14:paraId="7E94BCEA"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2B2065F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:oui</w:t>
      </w:r>
    </w:p>
    <w:p w14:paraId="14F50329"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1686FF7C"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5403E561"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34838FF5"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travaux : Exécution</w:t>
      </w:r>
    </w:p>
    <w:p w14:paraId="36367C0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6341D497"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Site sportif de Grand Stade Les capellans</w:t>
      </w:r>
    </w:p>
    <w:p w14:paraId="6F8584D6"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Verdi</w:t>
      </w:r>
    </w:p>
    <w:p w14:paraId="7045F9BB"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w:t>
      </w:r>
    </w:p>
    <w:p w14:paraId="478A5BA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Saint-Cyprien</w:t>
      </w:r>
    </w:p>
    <w:p w14:paraId="21EB75C8"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61123825"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2138E480"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1EA2BB13"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09331200-0</w:t>
      </w:r>
    </w:p>
    <w:p w14:paraId="63EF80B2"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762920BA" w14:textId="77777777"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22D96746"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09331200-0</w:t>
      </w:r>
    </w:p>
    <w:p w14:paraId="095BAAE5"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1CB7CB17"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09331200-0</w:t>
      </w:r>
    </w:p>
    <w:p w14:paraId="51F6F829"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0A9B2FB0"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pour partie à prix unitaires et pour partie à prix forfaitaires.</w:t>
      </w:r>
    </w:p>
    <w:p w14:paraId="7E8130E6"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3D3DF013" w14:textId="6278E9E1"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640 000.00 euros HT</w:t>
      </w:r>
    </w:p>
    <w:p w14:paraId="53B135FA" w14:textId="77777777" w:rsidR="000A12AD" w:rsidRDefault="000A12AD" w:rsidP="000A12AD">
      <w:pPr>
        <w:autoSpaceDE w:val="0"/>
        <w:autoSpaceDN w:val="0"/>
        <w:adjustRightInd w:val="0"/>
        <w:spacing w:after="0" w:line="240" w:lineRule="auto"/>
        <w:jc w:val="both"/>
        <w:rPr>
          <w:rFonts w:ascii="Verdana" w:hAnsi="Verdana" w:cs="Times New Roman"/>
          <w:sz w:val="20"/>
          <w:szCs w:val="24"/>
        </w:rPr>
      </w:pPr>
    </w:p>
    <w:p w14:paraId="0C2FE0F2"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23D567C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4CFBECA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Lot n°1 Remplacement de la toiture</w:t>
      </w:r>
      <w:r>
        <w:rPr>
          <w:rFonts w:ascii="Verdana" w:hAnsi="Verdana" w:cs="Times New Roman"/>
          <w:sz w:val="20"/>
          <w:szCs w:val="24"/>
        </w:rPr>
        <w:t xml:space="preserve"> </w:t>
      </w:r>
    </w:p>
    <w:p w14:paraId="77B39471"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3F52ACF6" w14:textId="3CE06ADF"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300000 euros HT</w:t>
      </w:r>
    </w:p>
    <w:p w14:paraId="0870AE94" w14:textId="77777777" w:rsidR="000A12AD" w:rsidRDefault="000A12AD" w:rsidP="000A12AD">
      <w:pPr>
        <w:autoSpaceDE w:val="0"/>
        <w:autoSpaceDN w:val="0"/>
        <w:adjustRightInd w:val="0"/>
        <w:spacing w:after="0" w:line="240" w:lineRule="auto"/>
        <w:jc w:val="both"/>
        <w:rPr>
          <w:rFonts w:ascii="Verdana" w:hAnsi="Verdana" w:cs="Times New Roman"/>
          <w:sz w:val="20"/>
          <w:szCs w:val="24"/>
        </w:rPr>
      </w:pPr>
    </w:p>
    <w:p w14:paraId="61C22139" w14:textId="0B7C5BF5"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Lot n°2 Fourniture et pose de panneaux </w:t>
      </w:r>
      <w:r w:rsidR="000A12AD">
        <w:rPr>
          <w:rFonts w:ascii="Verdana" w:hAnsi="Verdana" w:cs="Times New Roman"/>
          <w:b/>
          <w:sz w:val="20"/>
          <w:szCs w:val="24"/>
        </w:rPr>
        <w:t>photovoltaïques</w:t>
      </w:r>
      <w:r>
        <w:rPr>
          <w:rFonts w:ascii="Verdana" w:hAnsi="Verdana" w:cs="Times New Roman"/>
          <w:sz w:val="20"/>
          <w:szCs w:val="24"/>
        </w:rPr>
        <w:t xml:space="preserve"> </w:t>
      </w:r>
    </w:p>
    <w:p w14:paraId="6F8168F6"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52A49CB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340000 euros HT</w:t>
      </w:r>
    </w:p>
    <w:p w14:paraId="101D730D"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4D2DF96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77C6438D"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0C1A7595"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6E1D8442"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7D67BB7A" w14:textId="3917C91F"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w:t>
      </w:r>
      <w:r w:rsidR="000A12AD">
        <w:rPr>
          <w:rFonts w:ascii="Verdana" w:hAnsi="Verdana" w:cs="Times New Roman"/>
          <w:b/>
          <w:sz w:val="20"/>
          <w:szCs w:val="24"/>
        </w:rPr>
        <w:t xml:space="preserve"> :</w:t>
      </w:r>
      <w:r w:rsidR="000A12AD">
        <w:rPr>
          <w:rFonts w:ascii="Verdana" w:hAnsi="Verdana" w:cs="Times New Roman"/>
          <w:sz w:val="20"/>
          <w:szCs w:val="24"/>
        </w:rPr>
        <w:t xml:space="preserve"> Le</w:t>
      </w:r>
      <w:r>
        <w:rPr>
          <w:rFonts w:ascii="Verdana" w:hAnsi="Verdana" w:cs="Times New Roman"/>
          <w:sz w:val="20"/>
          <w:szCs w:val="24"/>
        </w:rPr>
        <w:t xml:space="preserve"> marché a une durée de 6 mois.</w:t>
      </w:r>
    </w:p>
    <w:p w14:paraId="0F903FEB"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2BF0D2F2" w14:textId="16F6ED08"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w:t>
      </w:r>
      <w:r w:rsidR="000A12AD">
        <w:rPr>
          <w:rFonts w:ascii="Verdana" w:hAnsi="Verdana" w:cs="Times New Roman"/>
          <w:b/>
          <w:sz w:val="20"/>
          <w:szCs w:val="24"/>
        </w:rPr>
        <w:t xml:space="preserve"> :</w:t>
      </w:r>
      <w:r w:rsidR="000A12AD">
        <w:rPr>
          <w:rFonts w:ascii="Verdana" w:hAnsi="Verdana" w:cs="Times New Roman"/>
          <w:sz w:val="20"/>
          <w:szCs w:val="24"/>
        </w:rPr>
        <w:t xml:space="preserve"> Le</w:t>
      </w:r>
      <w:r>
        <w:rPr>
          <w:rFonts w:ascii="Verdana" w:hAnsi="Verdana" w:cs="Times New Roman"/>
          <w:sz w:val="20"/>
          <w:szCs w:val="24"/>
        </w:rPr>
        <w:t xml:space="preserve"> marché a une durée de 6 mois.</w:t>
      </w:r>
    </w:p>
    <w:p w14:paraId="50D946B6"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08D316A1"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517E0F4"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201DA88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2CD77CF1"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61E0F5FA"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0E495C27"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2F60FFF6"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37485842"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6D6EB849"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4BA0C054"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70FF4170"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0B7E473F"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0680028C"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77EE7359"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11CC09E8" w14:textId="19F0131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2A192243" w14:textId="77777777" w:rsidR="000A12AD" w:rsidRDefault="000A12AD" w:rsidP="000A12AD">
      <w:pPr>
        <w:autoSpaceDE w:val="0"/>
        <w:autoSpaceDN w:val="0"/>
        <w:adjustRightInd w:val="0"/>
        <w:spacing w:after="0" w:line="240" w:lineRule="auto"/>
        <w:jc w:val="both"/>
        <w:rPr>
          <w:rFonts w:ascii="Verdana" w:hAnsi="Verdana" w:cs="Times New Roman"/>
          <w:sz w:val="20"/>
          <w:szCs w:val="24"/>
        </w:rPr>
      </w:pPr>
    </w:p>
    <w:p w14:paraId="5BA4C466"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5B0F62F5"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508E2DD7" w14:textId="77777777" w:rsidR="000A12AD" w:rsidRDefault="000A12AD" w:rsidP="000A12AD">
      <w:pPr>
        <w:autoSpaceDE w:val="0"/>
        <w:autoSpaceDN w:val="0"/>
        <w:adjustRightInd w:val="0"/>
        <w:spacing w:before="100" w:after="100" w:line="240" w:lineRule="auto"/>
        <w:jc w:val="both"/>
        <w:rPr>
          <w:rFonts w:ascii="Verdana" w:hAnsi="Verdana" w:cs="Times New Roman"/>
          <w:b/>
          <w:sz w:val="20"/>
          <w:szCs w:val="24"/>
        </w:rPr>
      </w:pPr>
    </w:p>
    <w:p w14:paraId="77C2171F" w14:textId="77777777" w:rsidR="000A12AD" w:rsidRDefault="000A12AD" w:rsidP="000A12AD">
      <w:pPr>
        <w:autoSpaceDE w:val="0"/>
        <w:autoSpaceDN w:val="0"/>
        <w:adjustRightInd w:val="0"/>
        <w:spacing w:before="100" w:after="100" w:line="240" w:lineRule="auto"/>
        <w:jc w:val="both"/>
        <w:rPr>
          <w:rFonts w:ascii="Verdana" w:hAnsi="Verdana" w:cs="Times New Roman"/>
          <w:b/>
          <w:sz w:val="20"/>
          <w:szCs w:val="24"/>
        </w:rPr>
      </w:pPr>
    </w:p>
    <w:p w14:paraId="78542C0A" w14:textId="79817DC0" w:rsidR="00E671DB" w:rsidRDefault="005357EC" w:rsidP="000A12AD">
      <w:pPr>
        <w:autoSpaceDE w:val="0"/>
        <w:autoSpaceDN w:val="0"/>
        <w:adjustRightInd w:val="0"/>
        <w:spacing w:before="100" w:after="100" w:line="240" w:lineRule="auto"/>
        <w:ind w:firstLine="330"/>
        <w:jc w:val="both"/>
        <w:rPr>
          <w:rFonts w:ascii="Verdana" w:hAnsi="Verdana" w:cs="Times New Roman"/>
          <w:sz w:val="20"/>
          <w:szCs w:val="24"/>
        </w:rPr>
      </w:pPr>
      <w:r>
        <w:rPr>
          <w:rFonts w:ascii="Verdana" w:hAnsi="Verdana" w:cs="Times New Roman"/>
          <w:b/>
          <w:sz w:val="20"/>
          <w:szCs w:val="24"/>
        </w:rPr>
        <w:lastRenderedPageBreak/>
        <w:t>Aptitude :</w:t>
      </w:r>
      <w:r>
        <w:rPr>
          <w:rFonts w:ascii="Verdana" w:hAnsi="Verdana" w:cs="Times New Roman"/>
          <w:sz w:val="20"/>
          <w:szCs w:val="24"/>
        </w:rPr>
        <w:t xml:space="preserve"> </w:t>
      </w:r>
    </w:p>
    <w:p w14:paraId="502A7012" w14:textId="5A406FB9"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r w:rsidR="000A12AD">
        <w:rPr>
          <w:rFonts w:ascii="Verdana" w:hAnsi="Verdana" w:cs="Times New Roman"/>
          <w:sz w:val="20"/>
          <w:szCs w:val="24"/>
        </w:rPr>
        <w:t>suivant: Registre</w:t>
      </w:r>
      <w:r>
        <w:rPr>
          <w:rFonts w:ascii="Verdana" w:hAnsi="Verdana" w:cs="Times New Roman"/>
          <w:sz w:val="20"/>
          <w:szCs w:val="24"/>
        </w:rPr>
        <w:t xml:space="preserve"> du commerce et des sociétés ou répertoire des métiers ou équivalent européen.</w:t>
      </w:r>
    </w:p>
    <w:p w14:paraId="071A46DF"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161D94CF"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Indications concernant le chiffre d'affaires annuel général sur 2 ans.</w:t>
      </w:r>
    </w:p>
    <w:p w14:paraId="07E27ABB"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168B0DE3"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6FA0688C"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Mention des références travaux sur une période de 2 ans.</w:t>
      </w:r>
    </w:p>
    <w:p w14:paraId="77D7ADB4"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Acceptation de références travaux datant de plus de cinq ans</w:t>
      </w:r>
    </w:p>
    <w:p w14:paraId="282FD37E"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Indication des systèmes de gestion et de suivi de la chaîne d'approvisionnement qui seront mis en place par l'opérateur économique</w:t>
      </w:r>
    </w:p>
    <w:p w14:paraId="4DD1616A"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Titres d'études et professionnels exigés du prestataire de services ou du personnel d'encadrement</w:t>
      </w:r>
    </w:p>
    <w:p w14:paraId="7492F4C6"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44C544E5" w14:textId="77777777" w:rsidR="00E671DB" w:rsidRDefault="005357EC" w:rsidP="000A12A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5EF0CD7F" w14:textId="3401402D"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7837C7B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0EF68750"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22B1C009" w14:textId="77777777"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1820E70C"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facultative</w:t>
      </w:r>
    </w:p>
    <w:p w14:paraId="414C7FAA"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2ECA8176" w14:textId="1CA0E20D"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Détails sur la visite</w:t>
      </w:r>
      <w:r>
        <w:rPr>
          <w:rFonts w:ascii="Verdana" w:hAnsi="Verdana" w:cs="Times New Roman"/>
          <w:sz w:val="20"/>
          <w:szCs w:val="24"/>
        </w:rPr>
        <w:t xml:space="preserve"> : La visite du site est recommandée en prenant contact avec Monsieur Delmau aux coordonnées</w:t>
      </w:r>
      <w:r w:rsidR="000A12AD">
        <w:rPr>
          <w:rFonts w:ascii="Verdana" w:hAnsi="Verdana" w:cs="Times New Roman"/>
          <w:sz w:val="20"/>
          <w:szCs w:val="24"/>
        </w:rPr>
        <w:t xml:space="preserve"> indiquées.</w:t>
      </w:r>
    </w:p>
    <w:p w14:paraId="29D56A81"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7B639A25" w14:textId="77777777"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371D81FE"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0210AD31"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6C792D79" w14:textId="7C97C64A"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Délais de livraison (en jours ouvrés uniquement)</w:t>
      </w:r>
      <w:r w:rsidR="000A12AD">
        <w:rPr>
          <w:rFonts w:ascii="Verdana" w:hAnsi="Verdana" w:cs="Times New Roman"/>
          <w:sz w:val="20"/>
          <w:szCs w:val="24"/>
        </w:rPr>
        <w:t xml:space="preserve"> </w:t>
      </w:r>
      <w:r>
        <w:rPr>
          <w:rFonts w:ascii="Verdana" w:hAnsi="Verdana" w:cs="Times New Roman"/>
          <w:sz w:val="20"/>
          <w:szCs w:val="24"/>
        </w:rPr>
        <w:t>pondéré à 10 sur 100 points.</w:t>
      </w:r>
    </w:p>
    <w:p w14:paraId="7FD27802"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3011059B" w14:textId="1F485D8A"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w:t>
      </w:r>
      <w:r w:rsidR="000A12AD">
        <w:rPr>
          <w:rFonts w:ascii="Verdana" w:hAnsi="Verdana" w:cs="Times New Roman"/>
          <w:sz w:val="20"/>
          <w:szCs w:val="24"/>
        </w:rPr>
        <w:t xml:space="preserve"> </w:t>
      </w:r>
      <w:r>
        <w:rPr>
          <w:rFonts w:ascii="Verdana" w:hAnsi="Verdana" w:cs="Times New Roman"/>
          <w:sz w:val="20"/>
          <w:szCs w:val="24"/>
        </w:rPr>
        <w:t>pondéré à 45 sur 100 points.</w:t>
      </w:r>
    </w:p>
    <w:p w14:paraId="1810CCA6"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0DAE4377" w14:textId="4C1B7DB6"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Critère Valeur technique</w:t>
      </w:r>
      <w:r w:rsidR="000A12AD">
        <w:rPr>
          <w:rFonts w:ascii="Verdana" w:hAnsi="Verdana" w:cs="Times New Roman"/>
          <w:sz w:val="20"/>
          <w:szCs w:val="24"/>
        </w:rPr>
        <w:t xml:space="preserve"> </w:t>
      </w:r>
      <w:r>
        <w:rPr>
          <w:rFonts w:ascii="Verdana" w:hAnsi="Verdana" w:cs="Times New Roman"/>
          <w:sz w:val="20"/>
          <w:szCs w:val="24"/>
        </w:rPr>
        <w:t>pondéré à 45 sur 100 points.</w:t>
      </w:r>
    </w:p>
    <w:p w14:paraId="629E930F"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787C8AC6"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5CE4D673"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N°22TR032</w:t>
      </w:r>
    </w:p>
    <w:p w14:paraId="5203D1D1"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795292C"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12/04/2022</w:t>
      </w:r>
    </w:p>
    <w:p w14:paraId="30596C8E"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09/05/2022 à 15:00</w:t>
      </w:r>
    </w:p>
    <w:p w14:paraId="71A648E4"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32630A6A"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1C935F2C" w14:textId="77777777"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5CB6EC94"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1A660D92"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5823657E" w14:textId="55B29039"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3E53C422" w14:textId="77777777" w:rsidR="000A12AD" w:rsidRDefault="000A12AD" w:rsidP="000A12AD">
      <w:pPr>
        <w:autoSpaceDE w:val="0"/>
        <w:autoSpaceDN w:val="0"/>
        <w:adjustRightInd w:val="0"/>
        <w:spacing w:after="0" w:line="240" w:lineRule="auto"/>
        <w:jc w:val="both"/>
        <w:rPr>
          <w:rFonts w:ascii="Verdana" w:hAnsi="Verdana" w:cs="Times New Roman"/>
          <w:b/>
          <w:sz w:val="20"/>
          <w:szCs w:val="24"/>
        </w:rPr>
      </w:pPr>
    </w:p>
    <w:p w14:paraId="60F9693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5B473A86" w14:textId="67409782"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2022 et suivant</w:t>
      </w:r>
      <w:r w:rsidR="000A12AD">
        <w:rPr>
          <w:rFonts w:ascii="Verdana" w:hAnsi="Verdana" w:cs="Times New Roman"/>
          <w:sz w:val="20"/>
          <w:szCs w:val="24"/>
        </w:rPr>
        <w:t>d</w:t>
      </w:r>
      <w:r>
        <w:rPr>
          <w:rFonts w:ascii="Verdana" w:hAnsi="Verdana" w:cs="Times New Roman"/>
          <w:sz w:val="20"/>
          <w:szCs w:val="24"/>
        </w:rPr>
        <w:t>.</w:t>
      </w:r>
    </w:p>
    <w:p w14:paraId="569D2010"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16834A46" w14:textId="77777777"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Avis périodique :</w:t>
      </w:r>
    </w:p>
    <w:p w14:paraId="45C50B90"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33596CA1"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08A923C0"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5BCD2642"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6841A3F1"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393B38F5" w14:textId="77777777" w:rsidR="00E671DB" w:rsidRDefault="005357EC" w:rsidP="000A12AD">
      <w:pPr>
        <w:numPr>
          <w:ilvl w:val="0"/>
          <w:numId w:val="1"/>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3004D1C4" w14:textId="77777777" w:rsidR="00E671DB" w:rsidRDefault="005357EC" w:rsidP="000A12AD">
      <w:pPr>
        <w:numPr>
          <w:ilvl w:val="0"/>
          <w:numId w:val="1"/>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en qualité de membre de plusieurs groupements.</w:t>
      </w:r>
    </w:p>
    <w:p w14:paraId="43F01FF9"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E077024"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2E66095E"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1B823165"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6CADA5C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Service pour renseignements sur recours</w:t>
      </w:r>
      <w:r>
        <w:rPr>
          <w:rFonts w:ascii="Verdana" w:hAnsi="Verdana" w:cs="Times New Roman"/>
          <w:sz w:val="20"/>
          <w:szCs w:val="24"/>
        </w:rPr>
        <w:t xml:space="preserve"> </w:t>
      </w:r>
    </w:p>
    <w:p w14:paraId="5CBE15C4"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0355E2E3"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10EDDA69"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0FE0AD9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39710DBE"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41290438"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5D93BC26"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07A5D58D"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7FFE2A3B"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54A7197C" w14:textId="77777777"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29899439"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1E0810F2"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367EDD45"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3BFB733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3880B677"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2E03FB16"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69C44D43" w14:textId="77777777"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2AD4EE1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45BFA228"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63BCA747"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576A4B53"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23D884A6" w14:textId="2E9815A2"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1B82B40E" w14:textId="77777777" w:rsidR="000A12AD" w:rsidRDefault="000A12AD" w:rsidP="000A12AD">
      <w:pPr>
        <w:autoSpaceDE w:val="0"/>
        <w:autoSpaceDN w:val="0"/>
        <w:adjustRightInd w:val="0"/>
        <w:spacing w:after="0" w:line="240" w:lineRule="auto"/>
        <w:jc w:val="both"/>
        <w:rPr>
          <w:rFonts w:ascii="Verdana" w:hAnsi="Verdana" w:cs="Times New Roman"/>
          <w:sz w:val="20"/>
          <w:szCs w:val="24"/>
        </w:rPr>
      </w:pPr>
    </w:p>
    <w:p w14:paraId="44659172" w14:textId="77777777"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0789A4A6" w14:textId="77777777" w:rsidR="00E671DB" w:rsidRDefault="005357EC" w:rsidP="000A12A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467E2CCD" w14:textId="77777777" w:rsidR="00E671DB" w:rsidRDefault="00E671DB" w:rsidP="000A12AD">
      <w:pPr>
        <w:autoSpaceDE w:val="0"/>
        <w:autoSpaceDN w:val="0"/>
        <w:adjustRightInd w:val="0"/>
        <w:spacing w:after="0" w:line="240" w:lineRule="auto"/>
        <w:jc w:val="both"/>
        <w:rPr>
          <w:rFonts w:ascii="Verdana" w:hAnsi="Verdana" w:cs="Times New Roman"/>
          <w:b/>
          <w:sz w:val="20"/>
          <w:szCs w:val="24"/>
        </w:rPr>
      </w:pPr>
    </w:p>
    <w:p w14:paraId="71898CA9" w14:textId="00424C84"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 xml:space="preserve">Adresse auprès de laquelle des renseignements complémentaires peuvent être obtenus : </w:t>
      </w:r>
      <w:r>
        <w:rPr>
          <w:rFonts w:ascii="Verdana" w:hAnsi="Verdana" w:cs="Times New Roman"/>
          <w:sz w:val="20"/>
          <w:szCs w:val="24"/>
        </w:rPr>
        <w:t xml:space="preserve"> </w:t>
      </w:r>
    </w:p>
    <w:p w14:paraId="0A7E05C0" w14:textId="77777777" w:rsidR="000A12AD" w:rsidRDefault="000A12AD" w:rsidP="000A12AD">
      <w:pPr>
        <w:autoSpaceDE w:val="0"/>
        <w:autoSpaceDN w:val="0"/>
        <w:adjustRightInd w:val="0"/>
        <w:spacing w:after="0" w:line="240" w:lineRule="auto"/>
        <w:jc w:val="both"/>
        <w:rPr>
          <w:rFonts w:ascii="Verdana" w:hAnsi="Verdana" w:cs="Times New Roman"/>
          <w:sz w:val="20"/>
          <w:szCs w:val="24"/>
        </w:rPr>
      </w:pPr>
    </w:p>
    <w:p w14:paraId="44E62794" w14:textId="77777777" w:rsidR="00E671DB" w:rsidRDefault="005357EC" w:rsidP="000A12AD">
      <w:pPr>
        <w:numPr>
          <w:ilvl w:val="0"/>
          <w:numId w:val="1"/>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pour les renseignements d'ordre administratif :</w:t>
      </w:r>
    </w:p>
    <w:p w14:paraId="486C9EB4" w14:textId="1FAF4728"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Mairie de Saint-Cyprien - MP CHV</w:t>
      </w:r>
    </w:p>
    <w:p w14:paraId="0A112BE5"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4FCDB520"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21AA6AA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21CAADAA"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775052E"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5F54BF47"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13AF383"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5D9CD7EF"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514C284" w14:textId="77777777" w:rsidR="00E671DB" w:rsidRDefault="005357EC" w:rsidP="000A12AD">
      <w:pPr>
        <w:numPr>
          <w:ilvl w:val="0"/>
          <w:numId w:val="1"/>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pour les renseignements d'ordre technique :</w:t>
      </w:r>
    </w:p>
    <w:p w14:paraId="687721DC"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D5AE1F1"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14:paraId="629ABF67"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M.Alexandre DELMAU</w:t>
      </w:r>
    </w:p>
    <w:p w14:paraId="65ADBEF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5584D151"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635EEF5C"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C117B95"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14:paraId="55BED0D4"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145E3CB8"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alexandre.delmau@stcyprien.fr</w:t>
      </w:r>
    </w:p>
    <w:p w14:paraId="7E4C214D" w14:textId="77777777" w:rsidR="00E671DB" w:rsidRDefault="005357EC" w:rsidP="000A12A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49A68B98"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1546338B"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p w14:paraId="41340F7F" w14:textId="77777777" w:rsidR="00E671DB" w:rsidRDefault="00E671DB" w:rsidP="000A12AD">
      <w:pPr>
        <w:autoSpaceDE w:val="0"/>
        <w:autoSpaceDN w:val="0"/>
        <w:adjustRightInd w:val="0"/>
        <w:spacing w:after="0" w:line="240" w:lineRule="auto"/>
        <w:jc w:val="both"/>
        <w:rPr>
          <w:rFonts w:ascii="Verdana" w:hAnsi="Verdana" w:cs="Times New Roman"/>
          <w:sz w:val="20"/>
          <w:szCs w:val="24"/>
        </w:rPr>
      </w:pPr>
    </w:p>
    <w:sectPr w:rsidR="00E67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360C1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A3AE2"/>
    <w:rsid w:val="000769ED"/>
    <w:rsid w:val="000A12AD"/>
    <w:rsid w:val="002A3AE2"/>
    <w:rsid w:val="00347E23"/>
    <w:rsid w:val="005357EC"/>
    <w:rsid w:val="00771BBA"/>
    <w:rsid w:val="00A507EE"/>
    <w:rsid w:val="00AC62D9"/>
    <w:rsid w:val="00DB6643"/>
    <w:rsid w:val="00E67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9681DE"/>
  <w14:defaultImageDpi w14:val="0"/>
  <w15:docId w15:val="{8FFFF7BA-FBBB-4752-8753-E18E62BC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1514</Words>
  <Characters>8330</Characters>
  <Application>Microsoft Office Word</Application>
  <DocSecurity>0</DocSecurity>
  <Lines>69</Lines>
  <Paragraphs>19</Paragraphs>
  <ScaleCrop>false</ScaleCrop>
  <Company>HP</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4</cp:revision>
  <dcterms:created xsi:type="dcterms:W3CDTF">2022-04-12T09:50:00Z</dcterms:created>
  <dcterms:modified xsi:type="dcterms:W3CDTF">2022-04-12T12:15:00Z</dcterms:modified>
</cp:coreProperties>
</file>