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12AD6" w14:textId="7558CF7C" w:rsidR="000769ED" w:rsidRDefault="003D3759" w:rsidP="002A3AE2">
      <w:pPr>
        <w:tabs>
          <w:tab w:val="center" w:pos="4536"/>
        </w:tabs>
        <w:jc w:val="center"/>
        <w:rPr>
          <w:rFonts w:cs="Times New Roman"/>
          <w:b/>
        </w:rPr>
      </w:pPr>
      <w:r>
        <w:rPr>
          <w:rFonts w:ascii="Times New Roman" w:hAnsi="Times New Roman" w:cs="Times New Roman"/>
          <w:sz w:val="24"/>
          <w:szCs w:val="24"/>
        </w:rPr>
        <w:t xml:space="preserve"> </w:t>
      </w:r>
      <w:r>
        <w:rPr>
          <w:noProof/>
        </w:rPr>
        <mc:AlternateContent>
          <mc:Choice Requires="wps">
            <w:drawing>
              <wp:anchor distT="0" distB="0" distL="114300" distR="114300" simplePos="0" relativeHeight="251656192" behindDoc="1" locked="0" layoutInCell="1" allowOverlap="1" wp14:anchorId="286619DE" wp14:editId="774A3825">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A721201"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14:anchorId="6FFB1836" wp14:editId="0EDCC329">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422528F0" w14:textId="77777777" w:rsidR="00347E23" w:rsidRDefault="00347E23" w:rsidP="000769ED">
      <w:pPr>
        <w:jc w:val="right"/>
        <w:rPr>
          <w:rFonts w:cs="Times New Roman"/>
        </w:rPr>
      </w:pPr>
    </w:p>
    <w:p w14:paraId="26A046D2" w14:textId="77777777" w:rsidR="000769ED" w:rsidRDefault="000769ED" w:rsidP="000769ED">
      <w:pPr>
        <w:jc w:val="right"/>
        <w:rPr>
          <w:rFonts w:cs="Times New Roman"/>
        </w:rPr>
      </w:pPr>
    </w:p>
    <w:p w14:paraId="4E6FB5F2"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2EA3EE90"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6203E87F"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4AFB3657"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22607828"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69EE541F"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14:paraId="771E0EF0"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572FF9AF"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668A8903"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E-Mail : christophe.vidal@stcyprien.fr</w:t>
      </w:r>
    </w:p>
    <w:p w14:paraId="6BB71B25"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14:paraId="6A993939"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1335375F" w14:textId="77777777" w:rsidR="001C4ED5" w:rsidRDefault="003D3759" w:rsidP="003D3759">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14:paraId="7B99EE0E"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5B4E9847"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7134CC1C"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0AB1DA6C"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marché.</w:t>
      </w:r>
    </w:p>
    <w:p w14:paraId="17B9FC70"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55161C51"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du marché</w:t>
      </w:r>
      <w:r>
        <w:rPr>
          <w:rFonts w:ascii="Verdana" w:hAnsi="Verdana" w:cs="Times New Roman"/>
          <w:sz w:val="20"/>
          <w:szCs w:val="24"/>
        </w:rPr>
        <w:t xml:space="preserve"> :</w:t>
      </w:r>
    </w:p>
    <w:p w14:paraId="4C494224" w14:textId="649665EA"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Travaux de Rénovation de l'aire de jeux de « la Prade » et Création d'une aire de jeu à « la </w:t>
      </w:r>
      <w:proofErr w:type="spellStart"/>
      <w:r>
        <w:rPr>
          <w:rFonts w:ascii="Verdana" w:hAnsi="Verdana" w:cs="Times New Roman"/>
          <w:sz w:val="20"/>
          <w:szCs w:val="24"/>
        </w:rPr>
        <w:t>Gragnote</w:t>
      </w:r>
      <w:proofErr w:type="spellEnd"/>
      <w:r>
        <w:rPr>
          <w:rFonts w:ascii="Verdana" w:hAnsi="Verdana" w:cs="Times New Roman"/>
          <w:sz w:val="20"/>
          <w:szCs w:val="24"/>
        </w:rPr>
        <w:t xml:space="preserve"> »</w:t>
      </w:r>
    </w:p>
    <w:p w14:paraId="5FCA7AF7"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75DC2D3E"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couvert par l'accord sur les marchés publics (AMP) :non</w:t>
      </w:r>
    </w:p>
    <w:p w14:paraId="1AC0A9B9"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6C3BDDF8"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du marché : Marché(s) ordinaire(s)</w:t>
      </w:r>
    </w:p>
    <w:p w14:paraId="4FBF6309"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7C47387E"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de marché de travaux : Exécution</w:t>
      </w:r>
    </w:p>
    <w:p w14:paraId="534F2D03"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Lieu principal d'exécution : </w:t>
      </w:r>
      <w:r>
        <w:rPr>
          <w:rFonts w:ascii="Verdana" w:hAnsi="Verdana" w:cs="Times New Roman"/>
          <w:sz w:val="20"/>
          <w:szCs w:val="24"/>
        </w:rPr>
        <w:t xml:space="preserve"> </w:t>
      </w:r>
    </w:p>
    <w:p w14:paraId="1F7EB405"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Commune de Saint-Cyprien</w:t>
      </w:r>
    </w:p>
    <w:p w14:paraId="5ACCD4D1"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7F0D4E2F"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3C7D4F5F"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2E5AB160"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68537CC0"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92351000-6</w:t>
      </w:r>
    </w:p>
    <w:p w14:paraId="65E5B986"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390B3979" w14:textId="77777777" w:rsidR="001C4ED5" w:rsidRDefault="003D375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CPV propre à chaque lot</w:t>
      </w:r>
    </w:p>
    <w:p w14:paraId="7EA8B118"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n°1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43325000-7</w:t>
      </w:r>
    </w:p>
    <w:p w14:paraId="289ED344"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701BA0C1"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n°2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43325000-7</w:t>
      </w:r>
    </w:p>
    <w:p w14:paraId="6EF31022"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7DBEEAA6"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forfaitaires.</w:t>
      </w:r>
    </w:p>
    <w:p w14:paraId="203CDDB7"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5A126F40"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du marché est de 145 833.00 euros HT</w:t>
      </w:r>
    </w:p>
    <w:p w14:paraId="1042C5D1"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Dévolution en marchés séparés</w:t>
      </w:r>
      <w:r>
        <w:rPr>
          <w:rFonts w:ascii="Verdana" w:hAnsi="Verdana" w:cs="Times New Roman"/>
          <w:sz w:val="20"/>
          <w:szCs w:val="24"/>
        </w:rPr>
        <w:t xml:space="preserve"> </w:t>
      </w:r>
    </w:p>
    <w:p w14:paraId="6CAB950D"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Informations sur les lots :</w:t>
      </w:r>
      <w:r>
        <w:rPr>
          <w:rFonts w:ascii="Verdana" w:hAnsi="Verdana" w:cs="Times New Roman"/>
          <w:sz w:val="20"/>
          <w:szCs w:val="24"/>
        </w:rPr>
        <w:t xml:space="preserve"> </w:t>
      </w:r>
    </w:p>
    <w:p w14:paraId="0D82016C"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Lot n°1 Réfection de l'aire de jeux de la </w:t>
      </w:r>
      <w:proofErr w:type="spellStart"/>
      <w:r>
        <w:rPr>
          <w:rFonts w:ascii="Verdana" w:hAnsi="Verdana" w:cs="Times New Roman"/>
          <w:b/>
          <w:sz w:val="20"/>
          <w:szCs w:val="24"/>
        </w:rPr>
        <w:t>prade</w:t>
      </w:r>
      <w:proofErr w:type="spellEnd"/>
      <w:r>
        <w:rPr>
          <w:rFonts w:ascii="Verdana" w:hAnsi="Verdana" w:cs="Times New Roman"/>
          <w:sz w:val="20"/>
          <w:szCs w:val="24"/>
        </w:rPr>
        <w:t xml:space="preserve"> </w:t>
      </w:r>
    </w:p>
    <w:p w14:paraId="4F7D3CB6"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14:paraId="128EFFF7"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62500 euros HT</w:t>
      </w:r>
    </w:p>
    <w:p w14:paraId="12FE6526"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Lot n°2 Création d'une nouvelle aire de jeux à la « </w:t>
      </w:r>
      <w:proofErr w:type="spellStart"/>
      <w:r>
        <w:rPr>
          <w:rFonts w:ascii="Verdana" w:hAnsi="Verdana" w:cs="Times New Roman"/>
          <w:b/>
          <w:sz w:val="20"/>
          <w:szCs w:val="24"/>
        </w:rPr>
        <w:t>Gragnote</w:t>
      </w:r>
      <w:proofErr w:type="spellEnd"/>
      <w:r>
        <w:rPr>
          <w:rFonts w:ascii="Verdana" w:hAnsi="Verdana" w:cs="Times New Roman"/>
          <w:b/>
          <w:sz w:val="20"/>
          <w:szCs w:val="24"/>
        </w:rPr>
        <w:t xml:space="preserve"> »</w:t>
      </w:r>
      <w:r>
        <w:rPr>
          <w:rFonts w:ascii="Verdana" w:hAnsi="Verdana" w:cs="Times New Roman"/>
          <w:sz w:val="20"/>
          <w:szCs w:val="24"/>
        </w:rPr>
        <w:t xml:space="preserve"> </w:t>
      </w:r>
    </w:p>
    <w:p w14:paraId="447B220B"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14:paraId="42D5E586"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83333 euros HT</w:t>
      </w:r>
    </w:p>
    <w:p w14:paraId="22D3243E"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19221AD8"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4C6C8C69"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exigées et les variantes ne sont pas autorisées.</w:t>
      </w:r>
    </w:p>
    <w:p w14:paraId="7B537DF8"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4D148D87"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candidats peuvent présenter des offres pour tous les lots.</w:t>
      </w:r>
    </w:p>
    <w:p w14:paraId="28864664"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424735B5"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n°1 :</w:t>
      </w:r>
      <w:r>
        <w:rPr>
          <w:rFonts w:ascii="Verdana" w:hAnsi="Verdana" w:cs="Times New Roman"/>
          <w:sz w:val="20"/>
          <w:szCs w:val="24"/>
        </w:rPr>
        <w:t>Le marché a une durée de 6 mois.</w:t>
      </w:r>
    </w:p>
    <w:p w14:paraId="40E43041"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0D1BFCBE"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n°2 :</w:t>
      </w:r>
      <w:r>
        <w:rPr>
          <w:rFonts w:ascii="Verdana" w:hAnsi="Verdana" w:cs="Times New Roman"/>
          <w:sz w:val="20"/>
          <w:szCs w:val="24"/>
        </w:rPr>
        <w:t>Le marché a une durée de 8 mois.</w:t>
      </w:r>
    </w:p>
    <w:p w14:paraId="05BBB14F"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0C8DE497"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3A8733DF"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14:paraId="6FDDC2A2"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2980ABC7"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n°1 :</w:t>
      </w:r>
    </w:p>
    <w:p w14:paraId="484AAC90"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73CADDC9"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48AB612E"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n°2 :</w:t>
      </w:r>
    </w:p>
    <w:p w14:paraId="71BBF09C"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520A74C6"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762EC38B"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7B108FBF"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 du code de la commande publique, peut exclure les candidatures se trouvant dans les situations qui y sont décrites, en particulier dans les cas qui suivent, sous réserve que dans un délai de 2 jours à compter de la réception d'un courrier l'y invitant, le candidat démontre qu'il a pris les mesures nécessaires pour corriger les manquements qui lui sont reprochés et, le cas échéant, que sa participation à la procédure de passation du marché public n'est pas susceptible de porter atteinte à l'égalité de traitement.</w:t>
      </w:r>
    </w:p>
    <w:p w14:paraId="45679416"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précédentes, ont dû verser des dommages et intérêts, ont été sanctionnées par une résiliation ou ont fait l'objet d'une sanction comparable du fait d'un manquement grave ou persistant à leurs obligations contractuelles lors de l'exécution d'un marché public antérieur.</w:t>
      </w:r>
    </w:p>
    <w:p w14:paraId="31A8FA04"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candidature, créent une situation de conflit d'intérêts, lorsqu'il ne peut y être remédié par d'autres moyens. Constitue une situation de conflit d'intérêts toute situation dans laquelle une personne qui participe au déroulement de la procédure de passation du marché public ou est susceptible d'en influencer l'issue a, directement ou indirectement, un intérêt financier, économique ou tout autre intérêt personnel qui pourrait compromettre son impartialité ou son indépendance dans le cadre de la procédure de passation du marché public.</w:t>
      </w:r>
    </w:p>
    <w:p w14:paraId="3A8C461E"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326ABE7F"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14:paraId="441AE08F"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Dépôt classique: La candidature peut être faite au moyen des formulaires DC1 et DC2 (formulaires à jour sur le site http://www.economie.gouv.fr/daj/formulaires-declaration-du-candidat) ou du DUME (document unique de marché européen, voir site :https://dume.chorus-pro.gouv.fr/).</w:t>
      </w:r>
    </w:p>
    <w:p w14:paraId="5625A04B"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7C834EFC"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Les documents et renseignements demandés par l'acheteur aux fins de vérification de l'aptitude à exercer l'activité professionnelle, de la capacité économique et financière et des capacités techniques et professionnelles du candidat sont: </w:t>
      </w:r>
    </w:p>
    <w:p w14:paraId="547A0F68" w14:textId="77777777" w:rsidR="001C4ED5" w:rsidRDefault="003D3759">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14:paraId="69ADFE57" w14:textId="77777777" w:rsidR="001C4ED5" w:rsidRDefault="003D3759" w:rsidP="003D375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Indications concernant le chiffre d'affaires annuel général sur 3 ans.</w:t>
      </w:r>
    </w:p>
    <w:p w14:paraId="53034F95" w14:textId="6C3204CB" w:rsidR="001C4ED5" w:rsidRDefault="003D3759" w:rsidP="003D375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14:paraId="457D1CC5" w14:textId="77777777" w:rsidR="004C26BD" w:rsidRDefault="004C26BD" w:rsidP="004C26BD">
      <w:pPr>
        <w:autoSpaceDE w:val="0"/>
        <w:autoSpaceDN w:val="0"/>
        <w:adjustRightInd w:val="0"/>
        <w:spacing w:before="100" w:after="100" w:line="240" w:lineRule="auto"/>
        <w:ind w:firstLine="330"/>
        <w:rPr>
          <w:rFonts w:ascii="Verdana" w:hAnsi="Verdana" w:cs="Times New Roman"/>
          <w:sz w:val="20"/>
          <w:szCs w:val="24"/>
        </w:rPr>
      </w:pPr>
      <w:r>
        <w:rPr>
          <w:rFonts w:ascii="Verdana" w:hAnsi="Verdana" w:cs="Times New Roman"/>
          <w:b/>
          <w:sz w:val="20"/>
          <w:szCs w:val="24"/>
        </w:rPr>
        <w:t>Aptitude :</w:t>
      </w:r>
      <w:r>
        <w:rPr>
          <w:rFonts w:ascii="Verdana" w:hAnsi="Verdana" w:cs="Times New Roman"/>
          <w:sz w:val="20"/>
          <w:szCs w:val="24"/>
        </w:rPr>
        <w:t xml:space="preserve"> </w:t>
      </w:r>
    </w:p>
    <w:p w14:paraId="6BC586AF" w14:textId="77777777" w:rsidR="004C26BD" w:rsidRDefault="004C26BD" w:rsidP="004C26BD">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L'opérateur économique doit être inscrit sur un registre professionnel ou sur un registre du commerce suivant : Registre du commerce et des sociétés ou répertoire des métiers ou équivalent européen.</w:t>
      </w:r>
    </w:p>
    <w:p w14:paraId="13CCCE9B" w14:textId="77777777" w:rsidR="004C26BD" w:rsidRDefault="004C26BD" w:rsidP="004C26BD">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lastRenderedPageBreak/>
        <w:t>Capacité économique et financière :</w:t>
      </w:r>
      <w:r>
        <w:rPr>
          <w:rFonts w:ascii="Verdana" w:hAnsi="Verdana" w:cs="Times New Roman"/>
          <w:sz w:val="20"/>
          <w:szCs w:val="24"/>
        </w:rPr>
        <w:t xml:space="preserve"> </w:t>
      </w:r>
    </w:p>
    <w:p w14:paraId="331EBA7F" w14:textId="77777777" w:rsidR="004C26BD" w:rsidRDefault="004C26BD" w:rsidP="004C26BD">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Indications concernant le chiffre d'affaires annuel général sur 3 ans.</w:t>
      </w:r>
    </w:p>
    <w:p w14:paraId="3CE557BA" w14:textId="77777777" w:rsidR="004C26BD" w:rsidRDefault="004C26BD" w:rsidP="004C26BD">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Autorisation d'indiquer en lieu et place le chiffre d'affaires moyen pour le nombre d'exercices requis.</w:t>
      </w:r>
    </w:p>
    <w:p w14:paraId="4563603F" w14:textId="77777777" w:rsidR="004C26BD" w:rsidRDefault="004C26BD" w:rsidP="004C26BD">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14:paraId="55EECEB7" w14:textId="77777777" w:rsidR="004C26BD" w:rsidRDefault="004C26BD" w:rsidP="004C26BD">
      <w:pPr>
        <w:autoSpaceDE w:val="0"/>
        <w:autoSpaceDN w:val="0"/>
        <w:adjustRightInd w:val="0"/>
        <w:spacing w:after="0" w:line="240" w:lineRule="auto"/>
        <w:rPr>
          <w:rFonts w:ascii="Verdana" w:hAnsi="Verdana" w:cs="Times New Roman"/>
          <w:sz w:val="20"/>
          <w:szCs w:val="24"/>
        </w:rPr>
      </w:pPr>
    </w:p>
    <w:p w14:paraId="4110EA42" w14:textId="77777777" w:rsidR="001C4ED5" w:rsidRDefault="003D3759" w:rsidP="003D375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40F7CBBB" w14:textId="77777777" w:rsidR="001C4ED5" w:rsidRDefault="003D3759" w:rsidP="003D375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Mention des références travaux sur une période de 5 ans.</w:t>
      </w:r>
    </w:p>
    <w:p w14:paraId="7D4F9208" w14:textId="77777777" w:rsidR="001C4ED5" w:rsidRDefault="003D3759" w:rsidP="003D375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Acceptation de références travaux datant de plus de cinq ans</w:t>
      </w:r>
    </w:p>
    <w:p w14:paraId="70A23996" w14:textId="77777777" w:rsidR="001C4ED5" w:rsidRDefault="003D3759" w:rsidP="003D375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des techniciens ou organismes techniques, en particulier des responsables du contrôle de la qualité, auxquels peut faire appel l'opérateur économique</w:t>
      </w:r>
    </w:p>
    <w:p w14:paraId="1A8812ED" w14:textId="77777777" w:rsidR="001C4ED5" w:rsidRDefault="003D3759" w:rsidP="003D375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Titres d'études et professionnels exigés du prestataire de services ou du contractant lui-même</w:t>
      </w:r>
    </w:p>
    <w:p w14:paraId="714AC312" w14:textId="77777777" w:rsidR="001C4ED5" w:rsidRDefault="003D3759" w:rsidP="003D375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une déclaration indiquant l'outillage, le matériel et l'équipement technique dont le candidat dispose pour l'exécution du marché</w:t>
      </w:r>
    </w:p>
    <w:p w14:paraId="5C2A737C" w14:textId="77777777" w:rsidR="001C4ED5" w:rsidRDefault="003D3759" w:rsidP="003D375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 la part du marché que l'opérateur économique a éventuellement l'intention de sous-traiter.</w:t>
      </w:r>
    </w:p>
    <w:p w14:paraId="639D5641"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2602DF45"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573C23DF"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MAPA ouvert</w:t>
      </w:r>
    </w:p>
    <w:p w14:paraId="3938F8A1"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59A7116D" w14:textId="77777777" w:rsidR="001C4ED5" w:rsidRDefault="003D375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Visite sur site</w:t>
      </w:r>
    </w:p>
    <w:p w14:paraId="795473BC"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Visite sur site facultative</w:t>
      </w:r>
    </w:p>
    <w:p w14:paraId="37E8FE24"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006A74E3"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Détails sur la visite</w:t>
      </w:r>
      <w:r>
        <w:rPr>
          <w:rFonts w:ascii="Verdana" w:hAnsi="Verdana" w:cs="Times New Roman"/>
          <w:sz w:val="20"/>
          <w:szCs w:val="24"/>
        </w:rPr>
        <w:t xml:space="preserve"> : Contact peut être pris auprès de Monsieur Delmau pour une visite des sites..</w:t>
      </w:r>
    </w:p>
    <w:p w14:paraId="0F12D8B9"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6110E3C8" w14:textId="77777777" w:rsidR="001C4ED5" w:rsidRDefault="003D375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Critères d'attribution</w:t>
      </w:r>
    </w:p>
    <w:p w14:paraId="5FFF6C4C" w14:textId="77777777" w:rsidR="001C4ED5" w:rsidRDefault="003D375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 xml:space="preserve">Concernant le lot n°1 Réfection de l'aire de jeux de la </w:t>
      </w:r>
      <w:proofErr w:type="spellStart"/>
      <w:r>
        <w:rPr>
          <w:rFonts w:ascii="Verdana" w:hAnsi="Verdana" w:cs="Times New Roman"/>
          <w:b/>
          <w:sz w:val="20"/>
          <w:szCs w:val="24"/>
        </w:rPr>
        <w:t>prade</w:t>
      </w:r>
      <w:proofErr w:type="spellEnd"/>
      <w:r>
        <w:rPr>
          <w:rFonts w:ascii="Verdana" w:hAnsi="Verdana" w:cs="Times New Roman"/>
          <w:b/>
          <w:sz w:val="20"/>
          <w:szCs w:val="24"/>
        </w:rPr>
        <w:t>:</w:t>
      </w:r>
    </w:p>
    <w:p w14:paraId="64EA92B3"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14:paraId="160AB6DF"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52E2072D" w14:textId="776CC8B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w:t>
      </w:r>
      <w:r w:rsidR="004C26BD">
        <w:rPr>
          <w:rFonts w:ascii="Verdana" w:hAnsi="Verdana" w:cs="Times New Roman"/>
          <w:sz w:val="20"/>
          <w:szCs w:val="24"/>
        </w:rPr>
        <w:t xml:space="preserve"> </w:t>
      </w:r>
      <w:r>
        <w:rPr>
          <w:rFonts w:ascii="Verdana" w:hAnsi="Verdana" w:cs="Times New Roman"/>
          <w:sz w:val="20"/>
          <w:szCs w:val="24"/>
        </w:rPr>
        <w:t>pondéré à 55 sur 100 points.</w:t>
      </w:r>
    </w:p>
    <w:p w14:paraId="443A3DF0"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4C764887" w14:textId="45092E15"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Valeur technique</w:t>
      </w:r>
      <w:r w:rsidR="004C26BD">
        <w:rPr>
          <w:rFonts w:ascii="Verdana" w:hAnsi="Verdana" w:cs="Times New Roman"/>
          <w:sz w:val="20"/>
          <w:szCs w:val="24"/>
        </w:rPr>
        <w:t xml:space="preserve"> </w:t>
      </w:r>
      <w:r>
        <w:rPr>
          <w:rFonts w:ascii="Verdana" w:hAnsi="Verdana" w:cs="Times New Roman"/>
          <w:sz w:val="20"/>
          <w:szCs w:val="24"/>
        </w:rPr>
        <w:t>pondéré à 45 sur 100 points.</w:t>
      </w:r>
    </w:p>
    <w:p w14:paraId="70C943EC"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743FAF9D" w14:textId="77777777" w:rsidR="001C4ED5" w:rsidRDefault="003D375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 xml:space="preserve">Concernant le lot n°2 Création d'une nouvelle aire de jeux à la « </w:t>
      </w:r>
      <w:proofErr w:type="spellStart"/>
      <w:r>
        <w:rPr>
          <w:rFonts w:ascii="Verdana" w:hAnsi="Verdana" w:cs="Times New Roman"/>
          <w:b/>
          <w:sz w:val="20"/>
          <w:szCs w:val="24"/>
        </w:rPr>
        <w:t>Gragnote</w:t>
      </w:r>
      <w:proofErr w:type="spellEnd"/>
      <w:r>
        <w:rPr>
          <w:rFonts w:ascii="Verdana" w:hAnsi="Verdana" w:cs="Times New Roman"/>
          <w:b/>
          <w:sz w:val="20"/>
          <w:szCs w:val="24"/>
        </w:rPr>
        <w:t xml:space="preserve"> »:</w:t>
      </w:r>
    </w:p>
    <w:p w14:paraId="4A41160B"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14:paraId="3DF76F26"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57CE4553" w14:textId="76F779FE"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w:t>
      </w:r>
      <w:r w:rsidR="00AD7646">
        <w:rPr>
          <w:rFonts w:ascii="Verdana" w:hAnsi="Verdana" w:cs="Times New Roman"/>
          <w:sz w:val="20"/>
          <w:szCs w:val="24"/>
        </w:rPr>
        <w:t xml:space="preserve"> </w:t>
      </w:r>
      <w:r>
        <w:rPr>
          <w:rFonts w:ascii="Verdana" w:hAnsi="Verdana" w:cs="Times New Roman"/>
          <w:sz w:val="20"/>
          <w:szCs w:val="24"/>
        </w:rPr>
        <w:t>pondéré à 55 sur 100 points.</w:t>
      </w:r>
    </w:p>
    <w:p w14:paraId="1F46790A"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6B0D6275" w14:textId="716790D4"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Valeur technique</w:t>
      </w:r>
      <w:r w:rsidR="00AD7646">
        <w:rPr>
          <w:rFonts w:ascii="Verdana" w:hAnsi="Verdana" w:cs="Times New Roman"/>
          <w:sz w:val="20"/>
          <w:szCs w:val="24"/>
        </w:rPr>
        <w:t xml:space="preserve"> </w:t>
      </w:r>
      <w:r>
        <w:rPr>
          <w:rFonts w:ascii="Verdana" w:hAnsi="Verdana" w:cs="Times New Roman"/>
          <w:sz w:val="20"/>
          <w:szCs w:val="24"/>
        </w:rPr>
        <w:t>pondéré à 45 sur 100 points.</w:t>
      </w:r>
    </w:p>
    <w:p w14:paraId="7B871404"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0817E4DA"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17B33B5E"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51F93327"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du marché : MAPA N°22TR052</w:t>
      </w:r>
    </w:p>
    <w:p w14:paraId="602C4D3C"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1E9BF07C"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18/05/2022</w:t>
      </w:r>
    </w:p>
    <w:p w14:paraId="5F6577EC"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23/06/2022 à 15:00</w:t>
      </w:r>
    </w:p>
    <w:p w14:paraId="52B67F63"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soumissionnaire est tenu de maintenir son offre pendant un délai de 90 jours à compter de la date limite de réception des offres.</w:t>
      </w:r>
    </w:p>
    <w:p w14:paraId="3E41CCF6"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7D60C497"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0462E326" w14:textId="77777777" w:rsidR="001C4ED5" w:rsidRDefault="003D375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60B0D9E2"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p>
    <w:p w14:paraId="7BA38BF7"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4C3D6CE7"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6B87C297" w14:textId="77777777" w:rsidR="001C4ED5" w:rsidRDefault="003D375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financement et de paiement :</w:t>
      </w:r>
    </w:p>
    <w:p w14:paraId="5241118B"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254AD08C"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Modalités de financement des prestations : Les dépenses effectuées au titre du présent marché seront imputées sur le Budget de la Commune de Saint-Cyprien au titre de l'exercice 2022 et suivants..</w:t>
      </w:r>
    </w:p>
    <w:p w14:paraId="422F568A"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2D17B125"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00F39716" w14:textId="77777777" w:rsidR="001C4ED5" w:rsidRDefault="003D375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1BF7D4C7"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marché périodique.</w:t>
      </w:r>
    </w:p>
    <w:p w14:paraId="0DAA8919"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625A48E7"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économiques attributaire du marché :</w:t>
      </w:r>
      <w:r>
        <w:rPr>
          <w:rFonts w:ascii="Verdana" w:hAnsi="Verdana" w:cs="Times New Roman"/>
          <w:sz w:val="20"/>
          <w:szCs w:val="24"/>
        </w:rPr>
        <w:t xml:space="preserve"> Après l'attribution du marché, la personne signataire du marché pourra exiger que le titulaire adopte la forme juridique suivante : groupement solidaire.</w:t>
      </w:r>
    </w:p>
    <w:p w14:paraId="3CABACAF"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210C80CE"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le marché ou un de ses lots plusieurs offres, en agissant à la fois :</w:t>
      </w:r>
    </w:p>
    <w:p w14:paraId="77B62065" w14:textId="77777777" w:rsidR="001C4ED5" w:rsidRDefault="003D3759" w:rsidP="003D3759">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candidat individuel et de membre d'un ou plusieurs groupements ;</w:t>
      </w:r>
    </w:p>
    <w:p w14:paraId="2105C06C" w14:textId="77777777" w:rsidR="001C4ED5" w:rsidRDefault="003D3759" w:rsidP="003D3759">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membre de plusieurs groupements.</w:t>
      </w:r>
    </w:p>
    <w:p w14:paraId="74B3C147"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2F0ABD07"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4A026F50"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5A752BA0"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5C17719D"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Service pour renseignements sur recours</w:t>
      </w:r>
      <w:r>
        <w:rPr>
          <w:rFonts w:ascii="Verdana" w:hAnsi="Verdana" w:cs="Times New Roman"/>
          <w:sz w:val="20"/>
          <w:szCs w:val="24"/>
        </w:rPr>
        <w:t xml:space="preserve"> </w:t>
      </w:r>
    </w:p>
    <w:p w14:paraId="0A6E81BC"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4C73B9C6"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06 rue Pitot</w:t>
      </w:r>
    </w:p>
    <w:p w14:paraId="0EAACEC7"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 France</w:t>
      </w:r>
    </w:p>
    <w:p w14:paraId="49CB66B5"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0467548100</w:t>
      </w:r>
    </w:p>
    <w:p w14:paraId="1B30135C"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0467548156</w:t>
      </w:r>
    </w:p>
    <w:p w14:paraId="1E636F97"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greffe.ta-montpellier@juradm.fr</w:t>
      </w:r>
    </w:p>
    <w:p w14:paraId="67BCAC0D"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 http://www.montpellier.tribunal-administratif.fr</w:t>
      </w:r>
    </w:p>
    <w:p w14:paraId="4C215167"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353CBEBA"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766DA508" w14:textId="77777777" w:rsidR="001C4ED5" w:rsidRDefault="003D375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14:paraId="67611E56"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transmission des candidatures se fait obligatoirement par voie électronique via le profil d'acheteur : https://www.marches-securises.fr.</w:t>
      </w:r>
    </w:p>
    <w:p w14:paraId="13D5C1F4"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 mode d'emploi est disponible sur le site. Les frais d'accès au réseau sont à la charge des candidats.</w:t>
      </w:r>
    </w:p>
    <w:p w14:paraId="0A7E7906"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contre récépissé n'est pas autorisée.</w:t>
      </w:r>
    </w:p>
    <w:p w14:paraId="30F58451"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14:paraId="55E1E68D"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14:paraId="565681DE"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4FC108E6"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3B7F44EF" w14:textId="77777777" w:rsidR="001C4ED5" w:rsidRDefault="003D375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1C845573"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exige que les opérateurs économiques signent électroniquement le DUME (électronique) ou documents équivalents (DC1 et DC2).</w:t>
      </w:r>
    </w:p>
    <w:p w14:paraId="1BCEE157"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électroniquement dès le stade de la réception des offres. L'absence de signature électronique entraine l'irrégularité de l'offre.</w:t>
      </w:r>
    </w:p>
    <w:p w14:paraId="6AA781CC"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signé(e) par chaque membre du groupement ou par le mandataire dument habilité par un document d'habilitation (copie de la convention de groupement ou acte spécifique d'habilitation).</w:t>
      </w:r>
    </w:p>
    <w:p w14:paraId="372B5BFB"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Ce document d'habilitation devra être fourni, signé de façon électronique par les autres membres du groupement, dès le stade de la réception des candidatures.</w:t>
      </w:r>
    </w:p>
    <w:p w14:paraId="1574831A"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électronique se fait conformément aux conditions fixées par l'arrêté du 22 mars 2019 relatif à la signature électronique des contrats de la commande publique.</w:t>
      </w:r>
    </w:p>
    <w:p w14:paraId="31D64AE5" w14:textId="77777777" w:rsidR="001C4ED5" w:rsidRDefault="003D375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14:paraId="050413DA" w14:textId="77777777" w:rsidR="001C4ED5" w:rsidRDefault="003D375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 et renseignements qu'ils ont déjà transmis dans une précédente consultation et qui demeurent valables.</w:t>
      </w:r>
    </w:p>
    <w:p w14:paraId="087A51D0" w14:textId="77777777" w:rsidR="001C4ED5" w:rsidRDefault="001C4ED5">
      <w:pPr>
        <w:autoSpaceDE w:val="0"/>
        <w:autoSpaceDN w:val="0"/>
        <w:adjustRightInd w:val="0"/>
        <w:spacing w:after="0" w:line="240" w:lineRule="auto"/>
        <w:jc w:val="both"/>
        <w:rPr>
          <w:rFonts w:ascii="Verdana" w:hAnsi="Verdana" w:cs="Times New Roman"/>
          <w:b/>
          <w:sz w:val="20"/>
          <w:szCs w:val="24"/>
        </w:rPr>
      </w:pPr>
    </w:p>
    <w:p w14:paraId="57A15434"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Adresse auprès de laquelle des renseignements complémentaires peuvent être obtenus : </w:t>
      </w:r>
      <w:r>
        <w:rPr>
          <w:rFonts w:ascii="Verdana" w:hAnsi="Verdana" w:cs="Times New Roman"/>
          <w:sz w:val="20"/>
          <w:szCs w:val="24"/>
        </w:rPr>
        <w:t xml:space="preserve"> </w:t>
      </w:r>
    </w:p>
    <w:p w14:paraId="63283F35" w14:textId="77777777" w:rsidR="001C4ED5" w:rsidRDefault="003D3759" w:rsidP="003D3759">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administratif :</w:t>
      </w:r>
    </w:p>
    <w:p w14:paraId="1A0DB8CF"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1B77ADE6"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MP CHV</w:t>
      </w:r>
    </w:p>
    <w:p w14:paraId="59571C15"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 Christophe Vidal</w:t>
      </w:r>
    </w:p>
    <w:p w14:paraId="7DDD2F10"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Hôtel de ville</w:t>
      </w:r>
    </w:p>
    <w:p w14:paraId="2963660F"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654F20FE"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27B19E6B"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64174928"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6C5E7F03"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christophe.vidal@stcyprien.fr</w:t>
      </w:r>
    </w:p>
    <w:p w14:paraId="003B7D1F"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053BB873" w14:textId="77777777" w:rsidR="001C4ED5" w:rsidRDefault="003D3759" w:rsidP="003D3759">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technique :</w:t>
      </w:r>
    </w:p>
    <w:p w14:paraId="5F1FD15E"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62AFF732"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Service Patrimoine Bâti AD</w:t>
      </w:r>
    </w:p>
    <w:p w14:paraId="13AB3061"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Correspondant : </w:t>
      </w:r>
      <w:proofErr w:type="spellStart"/>
      <w:r>
        <w:rPr>
          <w:rFonts w:ascii="Verdana" w:hAnsi="Verdana" w:cs="Times New Roman"/>
          <w:sz w:val="20"/>
          <w:szCs w:val="24"/>
        </w:rPr>
        <w:t>M.Alexandre</w:t>
      </w:r>
      <w:proofErr w:type="spellEnd"/>
      <w:r>
        <w:rPr>
          <w:rFonts w:ascii="Verdana" w:hAnsi="Verdana" w:cs="Times New Roman"/>
          <w:sz w:val="20"/>
          <w:szCs w:val="24"/>
        </w:rPr>
        <w:t xml:space="preserve"> DELMAU</w:t>
      </w:r>
    </w:p>
    <w:p w14:paraId="296BAC57"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CTM</w:t>
      </w:r>
    </w:p>
    <w:p w14:paraId="22BF5ACD"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Rue Courteline</w:t>
      </w:r>
    </w:p>
    <w:p w14:paraId="220B321B"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228E022A"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06.63.37.29.55</w:t>
      </w:r>
    </w:p>
    <w:p w14:paraId="3CF5BC41"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04.30.95.05.20</w:t>
      </w:r>
    </w:p>
    <w:p w14:paraId="3A43EFE4"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alexandre.delmau@stcyprien.fr</w:t>
      </w:r>
    </w:p>
    <w:p w14:paraId="5B56D558" w14:textId="77777777" w:rsidR="001C4ED5" w:rsidRDefault="003D375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2D4370CE"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0F4B4E87" w14:textId="77777777" w:rsidR="001C4ED5" w:rsidRDefault="001C4ED5">
      <w:pPr>
        <w:autoSpaceDE w:val="0"/>
        <w:autoSpaceDN w:val="0"/>
        <w:adjustRightInd w:val="0"/>
        <w:spacing w:after="0" w:line="240" w:lineRule="auto"/>
        <w:jc w:val="both"/>
        <w:rPr>
          <w:rFonts w:ascii="Verdana" w:hAnsi="Verdana" w:cs="Times New Roman"/>
          <w:sz w:val="20"/>
          <w:szCs w:val="24"/>
        </w:rPr>
      </w:pPr>
    </w:p>
    <w:p w14:paraId="571053A7" w14:textId="77777777" w:rsidR="001C4ED5" w:rsidRDefault="001C4ED5">
      <w:pPr>
        <w:autoSpaceDE w:val="0"/>
        <w:autoSpaceDN w:val="0"/>
        <w:adjustRightInd w:val="0"/>
        <w:spacing w:after="0" w:line="240" w:lineRule="auto"/>
        <w:jc w:val="both"/>
        <w:rPr>
          <w:rFonts w:ascii="Verdana" w:hAnsi="Verdana" w:cs="Times New Roman"/>
          <w:sz w:val="20"/>
          <w:szCs w:val="24"/>
        </w:rPr>
      </w:pPr>
    </w:p>
    <w:sectPr w:rsidR="001C4E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244DC4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769ED"/>
    <w:rsid w:val="001C4ED5"/>
    <w:rsid w:val="002A3AE2"/>
    <w:rsid w:val="00347E23"/>
    <w:rsid w:val="003D3759"/>
    <w:rsid w:val="004C26BD"/>
    <w:rsid w:val="00A507EE"/>
    <w:rsid w:val="00AC62D9"/>
    <w:rsid w:val="00AD7646"/>
    <w:rsid w:val="00DB6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D99AF9"/>
  <w14:defaultImageDpi w14:val="0"/>
  <w15:docId w15:val="{2D84753A-6150-41BC-8389-C3F4B6CC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1520</Words>
  <Characters>8749</Characters>
  <Application>Microsoft Office Word</Application>
  <DocSecurity>0</DocSecurity>
  <Lines>72</Lines>
  <Paragraphs>20</Paragraphs>
  <ScaleCrop>false</ScaleCrop>
  <Company>HP</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Christophe Vidal</cp:lastModifiedBy>
  <cp:revision>4</cp:revision>
  <dcterms:created xsi:type="dcterms:W3CDTF">2022-05-17T14:49:00Z</dcterms:created>
  <dcterms:modified xsi:type="dcterms:W3CDTF">2022-05-18T08:24:00Z</dcterms:modified>
</cp:coreProperties>
</file>