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A1" w:rsidRDefault="00210AA1" w:rsidP="00210AA1">
      <w:pPr>
        <w:pStyle w:val="titresection0"/>
        <w:shd w:val="clear" w:color="auto" w:fill="FFFFFF"/>
        <w:jc w:val="center"/>
        <w:rPr>
          <w:rFonts w:ascii="Arial" w:hAnsi="Arial" w:cs="Arial"/>
          <w:b/>
          <w:bCs/>
          <w:caps/>
          <w:color w:val="434343"/>
          <w:sz w:val="18"/>
          <w:szCs w:val="18"/>
        </w:rPr>
      </w:pPr>
      <w:r>
        <w:rPr>
          <w:rFonts w:ascii="Arial" w:hAnsi="Arial" w:cs="Arial"/>
          <w:b/>
          <w:bCs/>
          <w:caps/>
          <w:color w:val="434343"/>
          <w:sz w:val="18"/>
          <w:szCs w:val="18"/>
        </w:rPr>
        <w:t>AVIS DE MARCHÉ</w:t>
      </w:r>
    </w:p>
    <w:p w:rsidR="00210AA1" w:rsidRDefault="00210AA1" w:rsidP="00210AA1">
      <w:pPr>
        <w:pStyle w:val="txt"/>
        <w:shd w:val="clear" w:color="auto" w:fill="FFFFFF"/>
        <w:rPr>
          <w:rFonts w:ascii="Arial" w:hAnsi="Arial" w:cs="Arial"/>
          <w:color w:val="434343"/>
          <w:sz w:val="18"/>
          <w:szCs w:val="18"/>
        </w:rPr>
      </w:pPr>
      <w:r>
        <w:rPr>
          <w:rFonts w:ascii="Arial" w:hAnsi="Arial" w:cs="Arial"/>
          <w:color w:val="434343"/>
          <w:sz w:val="18"/>
          <w:szCs w:val="18"/>
        </w:rPr>
        <w:t>Directive 2014/24/UE</w:t>
      </w:r>
    </w:p>
    <w:p w:rsidR="00210AA1" w:rsidRDefault="00210AA1" w:rsidP="00210AA1">
      <w:pPr>
        <w:pStyle w:val="txt"/>
        <w:shd w:val="clear" w:color="auto" w:fill="FFFFFF"/>
        <w:rPr>
          <w:rFonts w:ascii="Arial" w:hAnsi="Arial" w:cs="Arial"/>
          <w:color w:val="434343"/>
          <w:sz w:val="18"/>
          <w:szCs w:val="18"/>
        </w:rPr>
      </w:pPr>
      <w:r>
        <w:rPr>
          <w:rFonts w:ascii="Arial" w:hAnsi="Arial" w:cs="Arial"/>
          <w:color w:val="434343"/>
          <w:sz w:val="18"/>
          <w:szCs w:val="18"/>
        </w:rPr>
        <w:t>Le présent avis constitue un appel à la concurrence</w:t>
      </w:r>
    </w:p>
    <w:p w:rsidR="00210AA1" w:rsidRDefault="00210AA1" w:rsidP="00210AA1">
      <w:pPr>
        <w:pStyle w:val="titresection"/>
        <w:shd w:val="clear" w:color="auto" w:fill="FFFFFF"/>
        <w:rPr>
          <w:rFonts w:ascii="Arial" w:hAnsi="Arial" w:cs="Arial"/>
          <w:b/>
          <w:bCs/>
          <w:caps/>
          <w:color w:val="434343"/>
          <w:sz w:val="18"/>
          <w:szCs w:val="18"/>
          <w:u w:val="single"/>
        </w:rPr>
      </w:pPr>
      <w:r>
        <w:rPr>
          <w:rFonts w:ascii="Arial" w:hAnsi="Arial" w:cs="Arial"/>
          <w:b/>
          <w:bCs/>
          <w:caps/>
          <w:color w:val="434343"/>
          <w:sz w:val="18"/>
          <w:szCs w:val="18"/>
          <w:u w:val="single"/>
        </w:rPr>
        <w:t>SECTION I : POUVOIR ADJUDICATEUR</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6"/>
        <w:gridCol w:w="36"/>
        <w:gridCol w:w="8730"/>
      </w:tblGrid>
      <w:tr w:rsidR="00210AA1" w:rsidTr="00210AA1">
        <w:trPr>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I.1)</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NOM ET ADRESSES</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Grand Besançon Métropole, 4 rue </w:t>
            </w:r>
            <w:proofErr w:type="spellStart"/>
            <w:r>
              <w:rPr>
                <w:rFonts w:ascii="Arial" w:hAnsi="Arial" w:cs="Arial"/>
                <w:color w:val="434343"/>
                <w:sz w:val="18"/>
                <w:szCs w:val="18"/>
              </w:rPr>
              <w:t>gabriel</w:t>
            </w:r>
            <w:proofErr w:type="spellEnd"/>
            <w:r>
              <w:rPr>
                <w:rFonts w:ascii="Arial" w:hAnsi="Arial" w:cs="Arial"/>
                <w:color w:val="434343"/>
                <w:sz w:val="18"/>
                <w:szCs w:val="18"/>
              </w:rPr>
              <w:t xml:space="preserve"> plançon, Point(s) de contact : https://www.marches-securises.fr, 25043, BESANCON, F, Courriel : </w:t>
            </w:r>
            <w:hyperlink r:id="rId4" w:history="1">
              <w:r>
                <w:rPr>
                  <w:rStyle w:val="Lienhypertexte"/>
                  <w:rFonts w:ascii="Arial" w:hAnsi="Arial" w:cs="Arial"/>
                  <w:color w:val="222F81"/>
                  <w:sz w:val="18"/>
                  <w:szCs w:val="18"/>
                  <w:u w:val="none"/>
                </w:rPr>
                <w:t>mobilites@grandbesancon.fr</w:t>
              </w:r>
            </w:hyperlink>
            <w:r>
              <w:rPr>
                <w:rFonts w:ascii="Arial" w:hAnsi="Arial" w:cs="Arial"/>
                <w:color w:val="434343"/>
                <w:sz w:val="18"/>
                <w:szCs w:val="18"/>
              </w:rPr>
              <w:t>, Code NUTS : FRC21</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b/>
                <w:bCs/>
                <w:color w:val="434343"/>
                <w:sz w:val="18"/>
                <w:szCs w:val="18"/>
              </w:rPr>
              <w:t xml:space="preserve">Adresse(s) internet </w:t>
            </w:r>
            <w:proofErr w:type="gramStart"/>
            <w:r>
              <w:rPr>
                <w:rFonts w:ascii="Arial" w:hAnsi="Arial" w:cs="Arial"/>
                <w:b/>
                <w:bCs/>
                <w:color w:val="434343"/>
                <w:sz w:val="18"/>
                <w:szCs w:val="18"/>
              </w:rPr>
              <w:t>:</w:t>
            </w:r>
            <w:proofErr w:type="gramEnd"/>
            <w:r>
              <w:rPr>
                <w:rFonts w:ascii="Arial" w:hAnsi="Arial" w:cs="Arial"/>
                <w:color w:val="434343"/>
                <w:sz w:val="18"/>
                <w:szCs w:val="18"/>
              </w:rPr>
              <w:br/>
              <w:t>Adresse principale : </w:t>
            </w:r>
            <w:hyperlink r:id="rId5" w:tgtFrame="_blank" w:history="1">
              <w:r>
                <w:rPr>
                  <w:rStyle w:val="Lienhypertexte"/>
                  <w:rFonts w:ascii="Arial" w:hAnsi="Arial" w:cs="Arial"/>
                  <w:color w:val="222F81"/>
                  <w:sz w:val="18"/>
                  <w:szCs w:val="18"/>
                  <w:u w:val="none"/>
                </w:rPr>
                <w:t>http://www.marches-securises.fr/</w:t>
              </w:r>
            </w:hyperlink>
            <w:r>
              <w:rPr>
                <w:rFonts w:ascii="Arial" w:hAnsi="Arial" w:cs="Arial"/>
                <w:color w:val="434343"/>
                <w:sz w:val="18"/>
                <w:szCs w:val="18"/>
              </w:rPr>
              <w:br/>
              <w:t>Adresse du profil acheteur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PROCÉDURE CONJOINTE</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I.3)</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COMMUNICATION</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Les documents du marché sont disponibles gratuitement en accès direct non restreint et complet, à l'adresse : </w:t>
            </w:r>
            <w:hyperlink r:id="rId6" w:tgtFrame="_blank" w:history="1">
              <w:r>
                <w:rPr>
                  <w:rStyle w:val="Lienhypertexte"/>
                  <w:rFonts w:ascii="Arial" w:hAnsi="Arial" w:cs="Arial"/>
                  <w:color w:val="222F81"/>
                  <w:sz w:val="18"/>
                  <w:szCs w:val="18"/>
                  <w:u w:val="none"/>
                </w:rPr>
                <w:t>https://www.marches-securises.fr</w:t>
              </w:r>
            </w:hyperlink>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b/>
                <w:bCs/>
                <w:color w:val="434343"/>
                <w:sz w:val="18"/>
                <w:szCs w:val="18"/>
              </w:rPr>
              <w:t xml:space="preserve">Adresse à laquelle des informations complémentaires peuvent être obtenues </w:t>
            </w:r>
            <w:proofErr w:type="gramStart"/>
            <w:r>
              <w:rPr>
                <w:rFonts w:ascii="Arial" w:hAnsi="Arial" w:cs="Arial"/>
                <w:b/>
                <w:bCs/>
                <w:color w:val="434343"/>
                <w:sz w:val="18"/>
                <w:szCs w:val="18"/>
              </w:rPr>
              <w:t>:</w:t>
            </w:r>
            <w:proofErr w:type="gramEnd"/>
            <w:r>
              <w:rPr>
                <w:rFonts w:ascii="Arial" w:hAnsi="Arial" w:cs="Arial"/>
                <w:color w:val="434343"/>
                <w:sz w:val="18"/>
                <w:szCs w:val="18"/>
              </w:rPr>
              <w:br/>
              <w:t>le ou les point(s) de contact susmentionné(s)</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b/>
                <w:bCs/>
                <w:color w:val="434343"/>
                <w:sz w:val="18"/>
                <w:szCs w:val="18"/>
              </w:rPr>
              <w:t xml:space="preserve">Les offres ou les demandes de participation doivent être envoyées </w:t>
            </w:r>
            <w:proofErr w:type="gramStart"/>
            <w:r>
              <w:rPr>
                <w:rFonts w:ascii="Arial" w:hAnsi="Arial" w:cs="Arial"/>
                <w:b/>
                <w:bCs/>
                <w:color w:val="434343"/>
                <w:sz w:val="18"/>
                <w:szCs w:val="18"/>
              </w:rPr>
              <w:t>:</w:t>
            </w:r>
            <w:proofErr w:type="gramEnd"/>
            <w:r>
              <w:rPr>
                <w:rFonts w:ascii="Arial" w:hAnsi="Arial" w:cs="Arial"/>
                <w:color w:val="434343"/>
                <w:sz w:val="18"/>
                <w:szCs w:val="18"/>
              </w:rPr>
              <w:br/>
              <w:t>par voie électronique à l'adresse : </w:t>
            </w:r>
            <w:hyperlink r:id="rId7" w:tgtFrame="_blank" w:history="1">
              <w:r>
                <w:rPr>
                  <w:rStyle w:val="Lienhypertexte"/>
                  <w:rFonts w:ascii="Arial" w:hAnsi="Arial" w:cs="Arial"/>
                  <w:color w:val="222F81"/>
                  <w:sz w:val="18"/>
                  <w:szCs w:val="18"/>
                  <w:u w:val="none"/>
                </w:rPr>
                <w:t>https://www.marches-securises.fr</w:t>
              </w:r>
            </w:hyperlink>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I.4)</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TYPE DE POUVOIR ADJUDICATEUR</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Autorité régionale ou locale</w:t>
            </w: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I.5)</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ACTIVITÉ PRINCIPALE</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Services généraux des administrations publiques</w:t>
            </w:r>
          </w:p>
        </w:tc>
      </w:tr>
    </w:tbl>
    <w:p w:rsidR="00210AA1" w:rsidRDefault="00210AA1" w:rsidP="00210AA1">
      <w:pPr>
        <w:pStyle w:val="titresection"/>
        <w:shd w:val="clear" w:color="auto" w:fill="FFFFFF"/>
        <w:rPr>
          <w:rFonts w:ascii="Arial" w:hAnsi="Arial" w:cs="Arial"/>
          <w:b/>
          <w:bCs/>
          <w:caps/>
          <w:color w:val="434343"/>
          <w:sz w:val="18"/>
          <w:szCs w:val="18"/>
          <w:u w:val="single"/>
        </w:rPr>
      </w:pPr>
      <w:r>
        <w:rPr>
          <w:rFonts w:ascii="Arial" w:hAnsi="Arial" w:cs="Arial"/>
          <w:b/>
          <w:bCs/>
          <w:caps/>
          <w:color w:val="434343"/>
          <w:sz w:val="18"/>
          <w:szCs w:val="18"/>
          <w:u w:val="single"/>
        </w:rPr>
        <w:t>SECTION II : OBJET</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468"/>
        <w:gridCol w:w="38"/>
        <w:gridCol w:w="8521"/>
        <w:gridCol w:w="45"/>
      </w:tblGrid>
      <w:tr w:rsidR="00210AA1" w:rsidTr="00210AA1">
        <w:trPr>
          <w:gridAfter w:val="1"/>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ÉTENDUE DU MARCHÉ</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II.1.1)</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Intitulé : </w:t>
            </w:r>
            <w:r>
              <w:rPr>
                <w:rFonts w:ascii="Arial" w:hAnsi="Arial" w:cs="Arial"/>
                <w:color w:val="434343"/>
                <w:sz w:val="18"/>
                <w:szCs w:val="18"/>
              </w:rPr>
              <w:t>Impression et fourniture de pavoisement, signalétique et PLV pour la Ville de Besançon et Grand Besançon Métropole</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Numéro de référence :</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II.1.2)</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Code CPV principal :</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principal : 32584000</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Type de marché</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b/>
                <w:bCs/>
                <w:color w:val="434343"/>
                <w:sz w:val="18"/>
                <w:szCs w:val="18"/>
              </w:rPr>
              <w:t>Fournitures</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Description succincte : </w:t>
            </w:r>
            <w:r>
              <w:rPr>
                <w:rFonts w:ascii="Arial" w:hAnsi="Arial" w:cs="Arial"/>
                <w:color w:val="434343"/>
                <w:sz w:val="18"/>
                <w:szCs w:val="18"/>
              </w:rPr>
              <w:t xml:space="preserve">Impression et fourniture de pavoisement, </w:t>
            </w:r>
            <w:proofErr w:type="spellStart"/>
            <w:r>
              <w:rPr>
                <w:rFonts w:ascii="Arial" w:hAnsi="Arial" w:cs="Arial"/>
                <w:color w:val="434343"/>
                <w:sz w:val="18"/>
                <w:szCs w:val="18"/>
              </w:rPr>
              <w:t>signalétique</w:t>
            </w:r>
            <w:proofErr w:type="gramStart"/>
            <w:r>
              <w:rPr>
                <w:rFonts w:ascii="Arial" w:hAnsi="Arial" w:cs="Arial"/>
                <w:color w:val="434343"/>
                <w:sz w:val="18"/>
                <w:szCs w:val="18"/>
              </w:rPr>
              <w:t>,PLV</w:t>
            </w:r>
            <w:proofErr w:type="spellEnd"/>
            <w:proofErr w:type="gramEnd"/>
            <w:r>
              <w:rPr>
                <w:rFonts w:ascii="Arial" w:hAnsi="Arial" w:cs="Arial"/>
                <w:color w:val="434343"/>
                <w:sz w:val="18"/>
                <w:szCs w:val="18"/>
              </w:rPr>
              <w:t xml:space="preserve">, </w:t>
            </w:r>
            <w:proofErr w:type="spellStart"/>
            <w:r>
              <w:rPr>
                <w:rFonts w:ascii="Arial" w:hAnsi="Arial" w:cs="Arial"/>
                <w:color w:val="434343"/>
                <w:sz w:val="18"/>
                <w:szCs w:val="18"/>
              </w:rPr>
              <w:t>adhésivage</w:t>
            </w:r>
            <w:proofErr w:type="spellEnd"/>
            <w:r>
              <w:rPr>
                <w:rFonts w:ascii="Arial" w:hAnsi="Arial" w:cs="Arial"/>
                <w:color w:val="434343"/>
                <w:sz w:val="18"/>
                <w:szCs w:val="18"/>
              </w:rPr>
              <w:t xml:space="preserve"> et vitrophanie pour la Ville de Besançon et Grand Besançon Métropole</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Valeur totale estimée :</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Valeur hors TVA </w:t>
            </w:r>
            <w:proofErr w:type="gramStart"/>
            <w:r>
              <w:rPr>
                <w:rFonts w:ascii="Arial" w:hAnsi="Arial" w:cs="Arial"/>
                <w:color w:val="434343"/>
                <w:sz w:val="18"/>
                <w:szCs w:val="18"/>
              </w:rPr>
              <w:t>:  euros</w:t>
            </w:r>
            <w:proofErr w:type="gramEnd"/>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II.1.6)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lots :</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Ce marché est divisé en lots : oui</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Il est possible de soumettre des offres pour tous les lots</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sz w:val="20"/>
                <w:szCs w:val="20"/>
              </w:rPr>
            </w:pPr>
          </w:p>
        </w:tc>
        <w:tc>
          <w:tcPr>
            <w:tcW w:w="0" w:type="auto"/>
            <w:gridSpan w:val="3"/>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Mots descripteurs : Bâche, Film plastique, Panneaux, Signalétique</w:t>
            </w:r>
          </w:p>
        </w:tc>
      </w:tr>
    </w:tbl>
    <w:p w:rsidR="00210AA1" w:rsidRDefault="00210AA1" w:rsidP="00210AA1">
      <w:pPr>
        <w:rPr>
          <w:vanish/>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6"/>
        <w:gridCol w:w="40"/>
        <w:gridCol w:w="8349"/>
        <w:gridCol w:w="36"/>
        <w:gridCol w:w="36"/>
        <w:gridCol w:w="45"/>
      </w:tblGrid>
      <w:tr w:rsidR="00210AA1" w:rsidTr="00210AA1">
        <w:trPr>
          <w:gridAfter w:val="3"/>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DESCRIPTION</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Intitulé : </w:t>
            </w:r>
            <w:r>
              <w:rPr>
                <w:rFonts w:ascii="Arial" w:hAnsi="Arial" w:cs="Arial"/>
                <w:color w:val="434343"/>
                <w:sz w:val="18"/>
                <w:szCs w:val="18"/>
              </w:rPr>
              <w:t>PLV extérieure et intérieure : bâches, kakémonos, calicots, banner-up.</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Lot nº : 1</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Code(s) CPV additionnel(s)</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CPV principal : 32584000</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lastRenderedPageBreak/>
              <w:t>II.2.3)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Lieu d'exécution</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NUTS : FRC21</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Lieu principal d'exécution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Description des prestations : </w:t>
            </w:r>
            <w:r>
              <w:rPr>
                <w:rFonts w:ascii="Arial" w:hAnsi="Arial" w:cs="Arial"/>
                <w:color w:val="434343"/>
                <w:sz w:val="18"/>
                <w:szCs w:val="18"/>
              </w:rPr>
              <w:t>Le lot 1 sera attribué à un maximum de 3 opérateurs économiques. L'accord-cadre avec maximum est passé en application des articles L2125-1 1°, R. 2162-1 à R. 2162-6, R. 2162-13 et R. 2162-14 du Code de la commande publique. Il donnera lieu à l'émission de bons de commande. Le montant maximum de commandes annuel pour le lot 1 est de 70 000 euros HT</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Critères d'attribution</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gridSpan w:val="3"/>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énoncés ci-dessous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 de qualité</w:t>
            </w:r>
            <w:r>
              <w:rPr>
                <w:rFonts w:ascii="Arial" w:hAnsi="Arial" w:cs="Arial"/>
                <w:color w:val="434343"/>
                <w:sz w:val="18"/>
                <w:szCs w:val="18"/>
              </w:rPr>
              <w:br/>
              <w:t>     1. valeur technique / Pondération : 30</w:t>
            </w:r>
            <w:r>
              <w:rPr>
                <w:rFonts w:ascii="Arial" w:hAnsi="Arial" w:cs="Arial"/>
                <w:color w:val="434343"/>
                <w:sz w:val="18"/>
                <w:szCs w:val="18"/>
              </w:rPr>
              <w:br/>
              <w:t>     2. délai d'exécution maximum / Pondération : 20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Prix :</w:t>
            </w:r>
            <w:r>
              <w:rPr>
                <w:rFonts w:ascii="Arial" w:hAnsi="Arial" w:cs="Arial"/>
                <w:color w:val="434343"/>
                <w:sz w:val="18"/>
                <w:szCs w:val="18"/>
              </w:rPr>
              <w:br/>
              <w:t>     1. Prix / Pondération : 50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Valeur estimée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Valeur hors TVA </w:t>
            </w:r>
            <w:proofErr w:type="gramStart"/>
            <w:r>
              <w:rPr>
                <w:rFonts w:ascii="Arial" w:hAnsi="Arial" w:cs="Arial"/>
                <w:color w:val="434343"/>
                <w:sz w:val="18"/>
                <w:szCs w:val="18"/>
              </w:rPr>
              <w:t>:  euros</w:t>
            </w:r>
            <w:proofErr w:type="gramEnd"/>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II.2.7)</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Durée du marché, de l'accord-cadre ou du système d'acquisition dynamique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Durée en mois : 12</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Ce marché peut faire l'objet d'une reconduction : oui</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Description des modalités ou du calendrier des reconductions : L'accord-cadre est reconduit tacitement jusqu'à son terme. Le nombre de périodes de reconduction est fixé à 2. La durée de chaque période de reconduction est de 1 an. La durée maximale du contrat, toutes périodes confondues, est de 3 ans.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II.2.9)</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limites concernant le nombre de candidats invités à participer</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objectifs de limitation du nombre de candidats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II.2.10)</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Variantes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 variantes seront prises en considération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options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Options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catalogues électroniques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fonds de l'Union européenne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Le contrat s'inscrit dans un projet/programme financé par des fonds de l'Union européenne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Identification du projet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Informations complémentaires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gridSpan w:val="5"/>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Mots descripteurs : Bâche, Panneaux</w:t>
            </w:r>
          </w:p>
        </w:tc>
      </w:tr>
    </w:tbl>
    <w:p w:rsidR="00210AA1" w:rsidRDefault="00210AA1" w:rsidP="00210AA1">
      <w:pPr>
        <w:rPr>
          <w:vanish/>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6"/>
        <w:gridCol w:w="40"/>
        <w:gridCol w:w="8349"/>
        <w:gridCol w:w="36"/>
        <w:gridCol w:w="36"/>
        <w:gridCol w:w="45"/>
      </w:tblGrid>
      <w:tr w:rsidR="00210AA1" w:rsidTr="00210AA1">
        <w:trPr>
          <w:gridAfter w:val="3"/>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DESCRIPTION</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Intitulé : </w:t>
            </w:r>
            <w:r>
              <w:rPr>
                <w:rFonts w:ascii="Arial" w:hAnsi="Arial" w:cs="Arial"/>
                <w:color w:val="434343"/>
                <w:sz w:val="18"/>
                <w:szCs w:val="18"/>
              </w:rPr>
              <w:t>Panneaux de communication de chantier, signalétique, enseigne</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Lot nº : 2</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Code(s) CPV additionnel(s)</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CPV principal : 32584000</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Lieu d'exécution</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NUTS : FRC21</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Lieu principal d'exécution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Description des prestations : </w:t>
            </w:r>
            <w:r>
              <w:rPr>
                <w:rFonts w:ascii="Arial" w:hAnsi="Arial" w:cs="Arial"/>
                <w:color w:val="434343"/>
                <w:sz w:val="18"/>
                <w:szCs w:val="18"/>
              </w:rPr>
              <w:t>L'accord-cadre avec maximum est passé en application des articles L2125-1 1°, R. 2162-1 à R. 2162-6, R. 2162-13 et R. 2162-14 du Code de la commande publique. Il donnera lieu à l'émission de bons de commande. Le montant maximum annuel fixé pour le lot 2 est de 100 000 euros HT. Le lot 2 sera attribué à 1 seul opérateur économique.</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Critères d'attribution</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gridSpan w:val="3"/>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énoncés ci-dessous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 de qualité</w:t>
            </w:r>
            <w:r>
              <w:rPr>
                <w:rFonts w:ascii="Arial" w:hAnsi="Arial" w:cs="Arial"/>
                <w:color w:val="434343"/>
                <w:sz w:val="18"/>
                <w:szCs w:val="18"/>
              </w:rPr>
              <w:br/>
              <w:t>     1. valeur technique / Pondération : 30</w:t>
            </w:r>
            <w:r>
              <w:rPr>
                <w:rFonts w:ascii="Arial" w:hAnsi="Arial" w:cs="Arial"/>
                <w:color w:val="434343"/>
                <w:sz w:val="18"/>
                <w:szCs w:val="18"/>
              </w:rPr>
              <w:br/>
              <w:t>     2. délai d'exécution maximum / Pondération : 20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Prix :</w:t>
            </w:r>
            <w:r>
              <w:rPr>
                <w:rFonts w:ascii="Arial" w:hAnsi="Arial" w:cs="Arial"/>
                <w:color w:val="434343"/>
                <w:sz w:val="18"/>
                <w:szCs w:val="18"/>
              </w:rPr>
              <w:br/>
              <w:t>     1. Prix / Pondération : 50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Valeur estimée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Valeur hors TVA </w:t>
            </w:r>
            <w:proofErr w:type="gramStart"/>
            <w:r>
              <w:rPr>
                <w:rFonts w:ascii="Arial" w:hAnsi="Arial" w:cs="Arial"/>
                <w:color w:val="434343"/>
                <w:sz w:val="18"/>
                <w:szCs w:val="18"/>
              </w:rPr>
              <w:t>:  euros</w:t>
            </w:r>
            <w:proofErr w:type="gramEnd"/>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II.2.7)</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Durée du marché, de l'accord-cadre ou du système d'acquisition dynamique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Durée en mois : 12</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Ce marché peut faire l'objet d'une reconduction : oui</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Description des modalités ou du calendrier des reconductions : L'accord-cadre est reconduit tacitement jusqu'à son terme. Le nombre de périodes de reconduction est fixé à 2. La durée de chaque période de reconduction est de 1 an. La durée maximale du contrat, toutes périodes confondues, est de 3 ans.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II.2.9)</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limites concernant le nombre de candidats invités à participer</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objectifs de limitation du nombre de candidats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II.2.10)</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Variantes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 variantes seront prises en considération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options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Options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catalogues électroniques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fonds de l'Union européenne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Le contrat s'inscrit dans un projet/programme financé par des fonds de l'Union européenne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Identification du projet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Informations complémentaires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gridSpan w:val="5"/>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Mots descripteurs : Bâche, Panneaux</w:t>
            </w:r>
          </w:p>
        </w:tc>
      </w:tr>
    </w:tbl>
    <w:p w:rsidR="00210AA1" w:rsidRDefault="00210AA1" w:rsidP="00210AA1">
      <w:pPr>
        <w:rPr>
          <w:vanish/>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6"/>
        <w:gridCol w:w="40"/>
        <w:gridCol w:w="8349"/>
        <w:gridCol w:w="36"/>
        <w:gridCol w:w="36"/>
        <w:gridCol w:w="45"/>
      </w:tblGrid>
      <w:tr w:rsidR="00210AA1" w:rsidTr="00210AA1">
        <w:trPr>
          <w:gridAfter w:val="3"/>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DESCRIPTION</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Intitulé : </w:t>
            </w:r>
            <w:r>
              <w:rPr>
                <w:rFonts w:ascii="Arial" w:hAnsi="Arial" w:cs="Arial"/>
                <w:color w:val="434343"/>
                <w:sz w:val="18"/>
                <w:szCs w:val="18"/>
              </w:rPr>
              <w:t>Adhésifs et vitrophanie</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Lot nº : 3</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Code(s) CPV additionnel(s)</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CPV principal : 24911200</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CPV principal : 32584000</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Lieu d'exécution</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NUTS : FRC21</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Lieu principal d'exécution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Description des prestations : </w:t>
            </w:r>
            <w:r>
              <w:rPr>
                <w:rFonts w:ascii="Arial" w:hAnsi="Arial" w:cs="Arial"/>
                <w:color w:val="434343"/>
                <w:sz w:val="18"/>
                <w:szCs w:val="18"/>
              </w:rPr>
              <w:t>L'accord-cadre avec maximum est passé en application des articles L2125-1 1°, R. 2162-1 à R. 2162-6, R. 2162-13 et R. 2162-14 du Code de la commande publique. Il donnera lieu à l'émission de bons de commande. Le montant maximum annuel fixé pour le lot 3 est de 70 000 euros. Le lot 3 sera attribué à 1 seul opérateur économique.</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Critères d'attribution</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gridSpan w:val="3"/>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énoncés ci-dessous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 de qualité</w:t>
            </w:r>
            <w:r>
              <w:rPr>
                <w:rFonts w:ascii="Arial" w:hAnsi="Arial" w:cs="Arial"/>
                <w:color w:val="434343"/>
                <w:sz w:val="18"/>
                <w:szCs w:val="18"/>
              </w:rPr>
              <w:br/>
              <w:t>     1. mesures environnementales / Pondération : 20</w:t>
            </w:r>
            <w:r>
              <w:rPr>
                <w:rFonts w:ascii="Arial" w:hAnsi="Arial" w:cs="Arial"/>
                <w:color w:val="434343"/>
                <w:sz w:val="18"/>
                <w:szCs w:val="18"/>
              </w:rPr>
              <w:br/>
              <w:t>     2. délai d'exécution / Pondération : 10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Prix :</w:t>
            </w:r>
            <w:r>
              <w:rPr>
                <w:rFonts w:ascii="Arial" w:hAnsi="Arial" w:cs="Arial"/>
                <w:color w:val="434343"/>
                <w:sz w:val="18"/>
                <w:szCs w:val="18"/>
              </w:rPr>
              <w:br/>
              <w:t>     1. Prix / Pondération : 70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Valeur estimée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Valeur hors TVA </w:t>
            </w:r>
            <w:proofErr w:type="gramStart"/>
            <w:r>
              <w:rPr>
                <w:rFonts w:ascii="Arial" w:hAnsi="Arial" w:cs="Arial"/>
                <w:color w:val="434343"/>
                <w:sz w:val="18"/>
                <w:szCs w:val="18"/>
              </w:rPr>
              <w:t>:  euros</w:t>
            </w:r>
            <w:proofErr w:type="gramEnd"/>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II.2.7)</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Durée du marché, de l'accord-cadre ou du système d'acquisition dynamique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Durée en mois : 12</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Ce marché peut faire l'objet d'une reconduction : oui</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Description des modalités ou du calendrier des reconductions : L'accord-cadre est reconduit tacitement jusqu'à son terme. Le nombre de périodes de reconduction est fixé à 2. La durée de chaque période de reconduction est de 1 an. La durée maximale du contrat, toutes périodes confondues, est de 3 ans.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II.2.9)</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limites concernant le nombre de candidats invités à participer</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objectifs de limitation du nombre de candidats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II.2.10)</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Variantes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 variantes seront prises en considération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options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Options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catalogues électroniques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fonds de l'Union européenne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Le contrat s'inscrit dans un projet/programme financé par des fonds de l'Union européenne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Identification du projet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Informations complémentaires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gridSpan w:val="5"/>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Mots descripteurs : Film plastique</w:t>
            </w:r>
          </w:p>
        </w:tc>
      </w:tr>
    </w:tbl>
    <w:p w:rsidR="00210AA1" w:rsidRDefault="00210AA1" w:rsidP="00210AA1">
      <w:pPr>
        <w:rPr>
          <w:vanish/>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66"/>
        <w:gridCol w:w="40"/>
        <w:gridCol w:w="8349"/>
        <w:gridCol w:w="36"/>
        <w:gridCol w:w="36"/>
        <w:gridCol w:w="45"/>
      </w:tblGrid>
      <w:tr w:rsidR="00210AA1" w:rsidTr="00210AA1">
        <w:trPr>
          <w:gridAfter w:val="3"/>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DESCRIPTION</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Intitulé : </w:t>
            </w:r>
            <w:proofErr w:type="spellStart"/>
            <w:r>
              <w:rPr>
                <w:rFonts w:ascii="Arial" w:hAnsi="Arial" w:cs="Arial"/>
                <w:color w:val="434343"/>
                <w:sz w:val="18"/>
                <w:szCs w:val="18"/>
              </w:rPr>
              <w:t>Covering</w:t>
            </w:r>
            <w:proofErr w:type="spellEnd"/>
            <w:r>
              <w:rPr>
                <w:rFonts w:ascii="Arial" w:hAnsi="Arial" w:cs="Arial"/>
                <w:color w:val="434343"/>
                <w:sz w:val="18"/>
                <w:szCs w:val="18"/>
              </w:rPr>
              <w:t xml:space="preserve"> du tramway</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Lot nº : 4</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Code(s) CPV additionnel(s)</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CPV principal : 24911200</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CPV principal : 32584000</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Descripteur supplémentaire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Lieu d'exécution</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Code NUTS : FRC21</w:t>
            </w:r>
          </w:p>
        </w:tc>
      </w:tr>
      <w:tr w:rsidR="00210AA1" w:rsidTr="00210AA1">
        <w:trPr>
          <w:gridAfter w:val="3"/>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Lieu principal d'exécution :</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Description des prestations : </w:t>
            </w:r>
            <w:r>
              <w:rPr>
                <w:rFonts w:ascii="Arial" w:hAnsi="Arial" w:cs="Arial"/>
                <w:color w:val="434343"/>
                <w:sz w:val="18"/>
                <w:szCs w:val="18"/>
              </w:rPr>
              <w:t>L'accord-cadre avec maximum est passé en application des articles L2125-1 1°, R. 2162-1 à R. 2162-6, R. 2162-13 et R. 2162-14 du Code de la commande publique. Il donnera lieu à l'émission de bons de commande. Le montant maximum annuel de commandes pour le lot 4 est de 50 000 euros HT. Le lot 4 sera attribué à un seul opérateur économique.</w:t>
            </w:r>
          </w:p>
        </w:tc>
      </w:tr>
      <w:tr w:rsidR="00210AA1" w:rsidTr="00210AA1">
        <w:trPr>
          <w:gridAfter w:val="3"/>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Critères d'attribution</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gridSpan w:val="3"/>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énoncés ci-dessous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 de qualité</w:t>
            </w:r>
            <w:r>
              <w:rPr>
                <w:rFonts w:ascii="Arial" w:hAnsi="Arial" w:cs="Arial"/>
                <w:color w:val="434343"/>
                <w:sz w:val="18"/>
                <w:szCs w:val="18"/>
              </w:rPr>
              <w:br/>
              <w:t>     1. Valeur technique / Pondération : 20</w:t>
            </w:r>
            <w:r>
              <w:rPr>
                <w:rFonts w:ascii="Arial" w:hAnsi="Arial" w:cs="Arial"/>
                <w:color w:val="434343"/>
                <w:sz w:val="18"/>
                <w:szCs w:val="18"/>
              </w:rPr>
              <w:br/>
              <w:t>     2. Délai d'exécution / Pondération : 30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Prix :</w:t>
            </w:r>
            <w:r>
              <w:rPr>
                <w:rFonts w:ascii="Arial" w:hAnsi="Arial" w:cs="Arial"/>
                <w:color w:val="434343"/>
                <w:sz w:val="18"/>
                <w:szCs w:val="18"/>
              </w:rPr>
              <w:br/>
              <w:t>     1. Prix / Pondération : 50</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Valeur estimée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Valeur hors TVA </w:t>
            </w:r>
            <w:proofErr w:type="gramStart"/>
            <w:r>
              <w:rPr>
                <w:rFonts w:ascii="Arial" w:hAnsi="Arial" w:cs="Arial"/>
                <w:color w:val="434343"/>
                <w:sz w:val="18"/>
                <w:szCs w:val="18"/>
              </w:rPr>
              <w:t>:  euros</w:t>
            </w:r>
            <w:proofErr w:type="gramEnd"/>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II.2.7)</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Durée du marché, de l'accord-cadre ou du système d'acquisition dynamique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Durée en mois : 12</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Ce marché peut faire l'objet d'une reconduction : oui</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Description des modalités ou du calendrier des reconductions : L'accord-cadre est reconduit tacitement jusqu'à son terme. Le nombre de périodes de reconduction est fixé à 2. La durée de chaque période de reconduction est de 1 an. La durée maximale du contrat, toutes périodes confondues, est de 3 ans.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II.2.9)</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limites concernant le nombre de candidats invités à participer</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Critères objectifs de limitation du nombre de candidats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II.2.10)</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Variantes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Des variantes seront prises en considération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options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Options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catalogues électroniques</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les fonds de l'Union européenne</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Le contrat s'inscrit dans un projet/programme financé par des fonds de l'Union européenne : non</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Identification du projet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II.2.14)</w:t>
            </w:r>
          </w:p>
        </w:tc>
        <w:tc>
          <w:tcPr>
            <w:tcW w:w="0" w:type="auto"/>
            <w:shd w:val="clear" w:color="auto" w:fill="FFFFFF"/>
            <w:vAlign w:val="center"/>
            <w:hideMark/>
          </w:tcPr>
          <w:p w:rsidR="00210AA1" w:rsidRDefault="00210AA1">
            <w:pPr>
              <w:rPr>
                <w:rFonts w:ascii="Arial" w:hAnsi="Arial" w:cs="Arial"/>
                <w:color w:val="434343"/>
                <w:sz w:val="18"/>
                <w:szCs w:val="18"/>
              </w:rPr>
            </w:pPr>
            <w:r>
              <w:rPr>
                <w:rStyle w:val="bold"/>
                <w:rFonts w:ascii="Arial" w:hAnsi="Arial" w:cs="Arial"/>
                <w:b/>
                <w:bCs/>
                <w:color w:val="5A5A5A"/>
                <w:sz w:val="18"/>
                <w:szCs w:val="18"/>
              </w:rPr>
              <w:t>Informations complémentaires :</w:t>
            </w: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gridSpan w:val="5"/>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Mots descripteurs : Film plastique</w:t>
            </w:r>
          </w:p>
        </w:tc>
      </w:tr>
    </w:tbl>
    <w:p w:rsidR="00210AA1" w:rsidRDefault="00210AA1" w:rsidP="00210AA1">
      <w:pPr>
        <w:pStyle w:val="titresection"/>
        <w:shd w:val="clear" w:color="auto" w:fill="FFFFFF"/>
        <w:rPr>
          <w:rFonts w:ascii="Arial" w:hAnsi="Arial" w:cs="Arial"/>
          <w:b/>
          <w:bCs/>
          <w:caps/>
          <w:color w:val="434343"/>
          <w:sz w:val="18"/>
          <w:szCs w:val="18"/>
          <w:u w:val="single"/>
        </w:rPr>
      </w:pPr>
      <w:r>
        <w:rPr>
          <w:rFonts w:ascii="Arial" w:hAnsi="Arial" w:cs="Arial"/>
          <w:b/>
          <w:bCs/>
          <w:caps/>
          <w:color w:val="434343"/>
          <w:sz w:val="18"/>
          <w:szCs w:val="18"/>
          <w:u w:val="single"/>
        </w:rPr>
        <w:t>SECTION III : RENSEIGNEMENTS D'ORDRE JURIDIQUE, ÉCONOMIQUE, FINANCIER ET TECHNIQUE</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18"/>
        <w:gridCol w:w="38"/>
        <w:gridCol w:w="8465"/>
        <w:gridCol w:w="51"/>
      </w:tblGrid>
      <w:tr w:rsidR="00210AA1" w:rsidTr="00210AA1">
        <w:trPr>
          <w:gridAfter w:val="1"/>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lastRenderedPageBreak/>
              <w:t>III.1)</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CONDITIONS DE PARTICIPATION</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III.1.1)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Habilitation à exercer l'activité professionnelle, y compris exigences relatives à l'inscription au registre du commerce ou de la profession</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Liste et description succincte des conditions : Déclaration sur l'honneur pour justifier que le candidat n'entre dans aucun des cas d'interdiction de soumissionner</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III.1.2)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Capacité économique et financière</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Liste et description succincte des critères de sélection : Déclaration concernant le chiffre d'affaires global et le chiffre d'affaires concernant les prestations objet du contrat, réalisées au cours des trois derniers exercices disponibles</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Niveau(x) spécifique(s) minimal/minimaux exigé(s) :</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Capacité technique et professionnelle</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Liste et description succincte des critères de sélection, indication des informations et documents requis : Déclaration indiquant l'outillage, le matériel et l'équipement technique dont le candidat dispose pour la réalisation du contrat Déclaration indiquant les effectifs moyens annuels du candidat et l'importance du personnel d'encadrement pour chacune des trois dernières années</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Niveau(x) spécifique(s) minimal/minimaux exigé(s) :</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III.1.5)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marchés réservés :</w:t>
            </w:r>
          </w:p>
        </w:tc>
      </w:tr>
      <w:tr w:rsidR="00210AA1" w:rsidTr="00210AA1">
        <w:trPr>
          <w:gridAfter w:val="1"/>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CONDITIONS LIÉES AU MARCHÉ</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III.2.1)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relative à la profession</w:t>
            </w:r>
          </w:p>
        </w:tc>
      </w:tr>
      <w:tr w:rsidR="00210AA1" w:rsidTr="00210AA1">
        <w:trPr>
          <w:gridAfter w:val="1"/>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proofErr w:type="gramStart"/>
            <w:r>
              <w:rPr>
                <w:rFonts w:ascii="Arial" w:hAnsi="Arial" w:cs="Arial"/>
                <w:color w:val="434343"/>
                <w:sz w:val="18"/>
                <w:szCs w:val="18"/>
              </w:rPr>
              <w:t>Références</w:t>
            </w:r>
            <w:proofErr w:type="gramEnd"/>
            <w:r>
              <w:rPr>
                <w:rFonts w:ascii="Arial" w:hAnsi="Arial" w:cs="Arial"/>
                <w:color w:val="434343"/>
                <w:sz w:val="18"/>
                <w:szCs w:val="18"/>
              </w:rPr>
              <w:t xml:space="preserve"> des dispositions législatives, réglementaires ou administratives applicables :</w:t>
            </w:r>
          </w:p>
        </w:tc>
      </w:tr>
      <w:tr w:rsidR="00210AA1" w:rsidTr="00210AA1">
        <w:trPr>
          <w:gridAfter w:val="1"/>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III.2.2)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Conditions particulières d'exécution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gridSpan w:val="2"/>
            <w:shd w:val="clear" w:color="auto" w:fill="FFFFFF"/>
            <w:vAlign w:val="center"/>
            <w:hideMark/>
          </w:tcPr>
          <w:p w:rsidR="00210AA1" w:rsidRDefault="00210AA1">
            <w:pPr>
              <w:rPr>
                <w:sz w:val="20"/>
                <w:szCs w:val="20"/>
              </w:rPr>
            </w:pP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III.2.3)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membres du personnel responsables de l'exécution du marché</w:t>
            </w: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III.2.4)</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Marché éligible au MPS</w:t>
            </w: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La transmission et la vérification des documents de candidatures </w:t>
            </w:r>
            <w:proofErr w:type="gramStart"/>
            <w:r>
              <w:rPr>
                <w:rFonts w:ascii="Arial" w:hAnsi="Arial" w:cs="Arial"/>
                <w:color w:val="434343"/>
                <w:sz w:val="18"/>
                <w:szCs w:val="18"/>
              </w:rPr>
              <w:t>peut</w:t>
            </w:r>
            <w:proofErr w:type="gramEnd"/>
            <w:r>
              <w:rPr>
                <w:rFonts w:ascii="Arial" w:hAnsi="Arial" w:cs="Arial"/>
                <w:color w:val="434343"/>
                <w:sz w:val="18"/>
                <w:szCs w:val="18"/>
              </w:rPr>
              <w:t xml:space="preserve"> être effectuée par le dispositif Marché public simplifié sur présentation du numéro de SIRET : NON</w:t>
            </w:r>
          </w:p>
        </w:tc>
        <w:tc>
          <w:tcPr>
            <w:tcW w:w="0" w:type="auto"/>
            <w:shd w:val="clear" w:color="auto" w:fill="FFFFFF"/>
            <w:vAlign w:val="center"/>
            <w:hideMark/>
          </w:tcPr>
          <w:p w:rsidR="00210AA1" w:rsidRDefault="00210AA1">
            <w:pPr>
              <w:rPr>
                <w:sz w:val="20"/>
                <w:szCs w:val="20"/>
              </w:rPr>
            </w:pPr>
          </w:p>
        </w:tc>
      </w:tr>
    </w:tbl>
    <w:p w:rsidR="00210AA1" w:rsidRDefault="00210AA1" w:rsidP="00210AA1">
      <w:pPr>
        <w:pStyle w:val="titresection"/>
        <w:shd w:val="clear" w:color="auto" w:fill="FFFFFF"/>
        <w:rPr>
          <w:rFonts w:ascii="Arial" w:hAnsi="Arial" w:cs="Arial"/>
          <w:b/>
          <w:bCs/>
          <w:caps/>
          <w:color w:val="434343"/>
          <w:sz w:val="18"/>
          <w:szCs w:val="18"/>
          <w:u w:val="single"/>
        </w:rPr>
      </w:pPr>
      <w:r>
        <w:rPr>
          <w:rFonts w:ascii="Arial" w:hAnsi="Arial" w:cs="Arial"/>
          <w:b/>
          <w:bCs/>
          <w:caps/>
          <w:color w:val="434343"/>
          <w:sz w:val="18"/>
          <w:szCs w:val="18"/>
          <w:u w:val="single"/>
        </w:rPr>
        <w:t>SECTION IV : PROCÉDURE</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38"/>
        <w:gridCol w:w="38"/>
        <w:gridCol w:w="8496"/>
      </w:tblGrid>
      <w:tr w:rsidR="00210AA1" w:rsidTr="00210AA1">
        <w:trPr>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DESCRIPTION</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Type de procédure</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Procédure ouverte</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l'accord-cadre ou le système d'acquisition dynamique</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Dans le cas d'accords-cadres - justification d'une durée dépassant quatre ans :</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IV.1.4)</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la réduction du nombre de solutions ou d'offres durant la négociation ou le dialogue</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IV.1.5)</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sur la négociation</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Enchère électronique :</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IV.1.8)</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 concernant l'accord sur les marchés publics (AMP)</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Le marché est couvert par l'accord sur les marchés publics : oui</w:t>
            </w: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RENSEIGNEMENTS D'ORDRE ADMINISTRATIF</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Publication antérieure relative à la présente procédure</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Numéro de l'avis au JO série S :</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Date limite de réception des offres ou des demandes de participation</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4 octobre 2022 - 12:00</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 xml:space="preserve">Date d'envoi estimée des invitations à </w:t>
            </w:r>
            <w:proofErr w:type="spellStart"/>
            <w:r>
              <w:rPr>
                <w:rFonts w:ascii="Arial" w:hAnsi="Arial" w:cs="Arial"/>
                <w:b/>
                <w:bCs/>
                <w:color w:val="5A5A5A"/>
                <w:sz w:val="18"/>
                <w:szCs w:val="18"/>
              </w:rPr>
              <w:t>soumissionnner</w:t>
            </w:r>
            <w:proofErr w:type="spellEnd"/>
            <w:r>
              <w:rPr>
                <w:rFonts w:ascii="Arial" w:hAnsi="Arial" w:cs="Arial"/>
                <w:b/>
                <w:bCs/>
                <w:color w:val="5A5A5A"/>
                <w:sz w:val="18"/>
                <w:szCs w:val="18"/>
              </w:rPr>
              <w:t xml:space="preserve"> ou à participer aux candidats sélectionnés</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Date :</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IV.2.4)</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Langue(s) pouvant être utilisée(s) dans l'offre ou la demande de participation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français</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IV.2.6)</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Délai minimal pendant lequel le soumissionnaire est tenu de maintenir son offre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L'offre doit être valable jusqu'au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ou</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Durée en mois : 4 (A compter de la date limite de réception des offres)</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IV.2.7)</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Modalité d'ouverture des offres</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Date : 4 octobre 2022 - 14:00</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Informations sur les personnes autorisées et les modalités d'ouverture :</w:t>
            </w:r>
          </w:p>
        </w:tc>
      </w:tr>
    </w:tbl>
    <w:p w:rsidR="00210AA1" w:rsidRDefault="00210AA1" w:rsidP="00210AA1">
      <w:pPr>
        <w:pStyle w:val="titresection"/>
        <w:shd w:val="clear" w:color="auto" w:fill="FFFFFF"/>
        <w:rPr>
          <w:rFonts w:ascii="Arial" w:hAnsi="Arial" w:cs="Arial"/>
          <w:b/>
          <w:bCs/>
          <w:caps/>
          <w:color w:val="434343"/>
          <w:sz w:val="18"/>
          <w:szCs w:val="18"/>
          <w:u w:val="single"/>
        </w:rPr>
      </w:pPr>
      <w:r>
        <w:rPr>
          <w:rFonts w:ascii="Arial" w:hAnsi="Arial" w:cs="Arial"/>
          <w:b/>
          <w:bCs/>
          <w:caps/>
          <w:color w:val="434343"/>
          <w:sz w:val="18"/>
          <w:szCs w:val="18"/>
          <w:u w:val="single"/>
        </w:rPr>
        <w:lastRenderedPageBreak/>
        <w:t>SECTION VI : RENSEIGNEMENTS COMPLÉMENTAIRES</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538"/>
        <w:gridCol w:w="38"/>
        <w:gridCol w:w="8496"/>
      </w:tblGrid>
      <w:tr w:rsidR="00210AA1" w:rsidTr="00210AA1">
        <w:trPr>
          <w:tblHeade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VI.1)</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RENOUVELLEMENT</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Il s'agit d'un marché renouvelable</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color w:val="434343"/>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Calendrier prévisionnel de publication des prochains avis :</w:t>
            </w: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VI.2)</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SUR LES ÉCHANGES ÉLECTRONIQUES</w:t>
            </w: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VI.3)</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INFORMATIONS COMPLÉMENTAIRES</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VI.4)</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PROCÉDURES DE RECOURS</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VI.4.1)</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Instance chargée des procédures de recours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Tribunal Administratif de Besançon, 30 rue Charles Nodier, 25044, BESANCON CEDEX, F, Courriel : </w:t>
            </w:r>
            <w:hyperlink r:id="rId8" w:history="1">
              <w:r>
                <w:rPr>
                  <w:rStyle w:val="Lienhypertexte"/>
                  <w:rFonts w:ascii="Arial" w:hAnsi="Arial" w:cs="Arial"/>
                  <w:color w:val="222F81"/>
                  <w:sz w:val="18"/>
                  <w:szCs w:val="18"/>
                  <w:u w:val="none"/>
                </w:rPr>
                <w:t>greffe.ta-besancon@juradm.fr</w:t>
              </w:r>
            </w:hyperlink>
            <w:r>
              <w:rPr>
                <w:rFonts w:ascii="Arial" w:hAnsi="Arial" w:cs="Arial"/>
                <w:color w:val="434343"/>
                <w:sz w:val="18"/>
                <w:szCs w:val="18"/>
              </w:rPr>
              <w:t>, Adresse internet : </w:t>
            </w:r>
            <w:hyperlink r:id="rId9" w:tgtFrame="_blank" w:history="1">
              <w:r>
                <w:rPr>
                  <w:rStyle w:val="Lienhypertexte"/>
                  <w:rFonts w:ascii="Arial" w:hAnsi="Arial" w:cs="Arial"/>
                  <w:color w:val="840107"/>
                  <w:sz w:val="18"/>
                  <w:szCs w:val="18"/>
                </w:rPr>
                <w:t>http://besancon.tribunal-administratif.fr/</w:t>
              </w:r>
            </w:hyperlink>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VI.4.2)</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Organe chargé des procédures de médiation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Comité consultatif interrégional de règlement amiable des différends, 1 rue du Préfet Claude </w:t>
            </w:r>
            <w:proofErr w:type="spellStart"/>
            <w:r>
              <w:rPr>
                <w:rFonts w:ascii="Arial" w:hAnsi="Arial" w:cs="Arial"/>
                <w:color w:val="434343"/>
                <w:sz w:val="18"/>
                <w:szCs w:val="18"/>
              </w:rPr>
              <w:t>Erignac</w:t>
            </w:r>
            <w:proofErr w:type="spellEnd"/>
            <w:r>
              <w:rPr>
                <w:rFonts w:ascii="Arial" w:hAnsi="Arial" w:cs="Arial"/>
                <w:color w:val="434343"/>
                <w:sz w:val="18"/>
                <w:szCs w:val="18"/>
              </w:rPr>
              <w:t xml:space="preserve">, 54038, </w:t>
            </w:r>
            <w:proofErr w:type="spellStart"/>
            <w:r>
              <w:rPr>
                <w:rFonts w:ascii="Arial" w:hAnsi="Arial" w:cs="Arial"/>
                <w:color w:val="434343"/>
                <w:sz w:val="18"/>
                <w:szCs w:val="18"/>
              </w:rPr>
              <w:t>nancy</w:t>
            </w:r>
            <w:proofErr w:type="spellEnd"/>
            <w:r>
              <w:rPr>
                <w:rFonts w:ascii="Arial" w:hAnsi="Arial" w:cs="Arial"/>
                <w:color w:val="434343"/>
                <w:sz w:val="18"/>
                <w:szCs w:val="18"/>
              </w:rPr>
              <w:t xml:space="preserve"> Cedex, F</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VI.4.3)</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Introduction de recours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 xml:space="preserve">Précisions concernant les délais d'introduction de recours : - référé </w:t>
            </w:r>
            <w:proofErr w:type="spellStart"/>
            <w:r>
              <w:rPr>
                <w:rFonts w:ascii="Arial" w:hAnsi="Arial" w:cs="Arial"/>
                <w:color w:val="434343"/>
                <w:sz w:val="18"/>
                <w:szCs w:val="18"/>
              </w:rPr>
              <w:t>pré-contractuel</w:t>
            </w:r>
            <w:proofErr w:type="spellEnd"/>
            <w:r>
              <w:rPr>
                <w:rFonts w:ascii="Arial" w:hAnsi="Arial" w:cs="Arial"/>
                <w:color w:val="434343"/>
                <w:sz w:val="18"/>
                <w:szCs w:val="18"/>
              </w:rPr>
              <w:t xml:space="preserve"> (art L.551-1 et suivants du CJA pour les pouvoirs adjudicateurs et L551-5 et suivants pour les entités adjudicatrices - référé contractuel (art L551.13 et suivants du </w:t>
            </w:r>
            <w:proofErr w:type="spellStart"/>
            <w:r>
              <w:rPr>
                <w:rFonts w:ascii="Arial" w:hAnsi="Arial" w:cs="Arial"/>
                <w:color w:val="434343"/>
                <w:sz w:val="18"/>
                <w:szCs w:val="18"/>
              </w:rPr>
              <w:t>cja</w:t>
            </w:r>
            <w:proofErr w:type="spellEnd"/>
            <w:r>
              <w:rPr>
                <w:rFonts w:ascii="Arial" w:hAnsi="Arial" w:cs="Arial"/>
                <w:color w:val="434343"/>
                <w:sz w:val="18"/>
                <w:szCs w:val="18"/>
              </w:rPr>
              <w:t>) - recours en contestation de validité du contrat (jurisprudence Tarn et Garonne qui peut être exercé par les Tiers au contrat, sans considération de leur qualité dans les 2 mois à compter des mesures de publicité appropriées</w:t>
            </w:r>
          </w:p>
        </w:tc>
      </w:tr>
      <w:tr w:rsidR="00210AA1" w:rsidTr="00210AA1">
        <w:trPr>
          <w:tblCellSpacing w:w="15" w:type="dxa"/>
        </w:trPr>
        <w:tc>
          <w:tcPr>
            <w:tcW w:w="0" w:type="auto"/>
            <w:gridSpan w:val="2"/>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VI.4.4)</w:t>
            </w: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Service auprès duquel des renseignements peuvent être obtenus sur l'introduction de recours :</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sz w:val="20"/>
                <w:szCs w:val="20"/>
              </w:rPr>
            </w:pPr>
          </w:p>
        </w:tc>
      </w:tr>
      <w:tr w:rsidR="00210AA1" w:rsidTr="00210AA1">
        <w:trPr>
          <w:tblCellSpacing w:w="15" w:type="dxa"/>
        </w:trPr>
        <w:tc>
          <w:tcPr>
            <w:tcW w:w="0" w:type="auto"/>
            <w:shd w:val="clear" w:color="auto" w:fill="FFFFFF"/>
            <w:hideMark/>
          </w:tcPr>
          <w:p w:rsidR="00210AA1" w:rsidRDefault="00210AA1">
            <w:pPr>
              <w:jc w:val="right"/>
              <w:rPr>
                <w:rFonts w:ascii="Arial" w:hAnsi="Arial" w:cs="Arial"/>
                <w:color w:val="434343"/>
                <w:sz w:val="18"/>
                <w:szCs w:val="18"/>
              </w:rPr>
            </w:pPr>
            <w:r>
              <w:rPr>
                <w:rFonts w:ascii="Arial" w:hAnsi="Arial" w:cs="Arial"/>
                <w:color w:val="434343"/>
                <w:sz w:val="18"/>
                <w:szCs w:val="18"/>
              </w:rPr>
              <w:t>VI.5)</w:t>
            </w:r>
          </w:p>
        </w:tc>
        <w:tc>
          <w:tcPr>
            <w:tcW w:w="0" w:type="auto"/>
            <w:shd w:val="clear" w:color="auto" w:fill="FFFFFF"/>
            <w:vAlign w:val="center"/>
            <w:hideMark/>
          </w:tcPr>
          <w:p w:rsidR="00210AA1" w:rsidRDefault="00210AA1">
            <w:pPr>
              <w:jc w:val="right"/>
              <w:rPr>
                <w:rFonts w:ascii="Arial" w:hAnsi="Arial" w:cs="Arial"/>
                <w:color w:val="434343"/>
                <w:sz w:val="18"/>
                <w:szCs w:val="18"/>
              </w:rPr>
            </w:pPr>
          </w:p>
        </w:tc>
        <w:tc>
          <w:tcPr>
            <w:tcW w:w="0" w:type="auto"/>
            <w:shd w:val="clear" w:color="auto" w:fill="FFFFFF"/>
            <w:vAlign w:val="center"/>
            <w:hideMark/>
          </w:tcPr>
          <w:p w:rsidR="00210AA1" w:rsidRDefault="00210AA1">
            <w:pPr>
              <w:rPr>
                <w:rFonts w:ascii="Arial" w:hAnsi="Arial" w:cs="Arial"/>
                <w:b/>
                <w:bCs/>
                <w:color w:val="5A5A5A"/>
                <w:sz w:val="18"/>
                <w:szCs w:val="18"/>
              </w:rPr>
            </w:pPr>
            <w:r>
              <w:rPr>
                <w:rFonts w:ascii="Arial" w:hAnsi="Arial" w:cs="Arial"/>
                <w:b/>
                <w:bCs/>
                <w:color w:val="5A5A5A"/>
                <w:sz w:val="18"/>
                <w:szCs w:val="18"/>
              </w:rPr>
              <w:t>DATE D'ENVOI DU PRÉSENT AVIS</w:t>
            </w:r>
          </w:p>
        </w:tc>
      </w:tr>
      <w:tr w:rsidR="00210AA1" w:rsidTr="00210AA1">
        <w:trPr>
          <w:tblCellSpacing w:w="15" w:type="dxa"/>
        </w:trPr>
        <w:tc>
          <w:tcPr>
            <w:tcW w:w="0" w:type="auto"/>
            <w:shd w:val="clear" w:color="auto" w:fill="FFFFFF"/>
            <w:vAlign w:val="center"/>
            <w:hideMark/>
          </w:tcPr>
          <w:p w:rsidR="00210AA1" w:rsidRDefault="00210AA1">
            <w:pPr>
              <w:rPr>
                <w:rFonts w:ascii="Arial" w:hAnsi="Arial" w:cs="Arial"/>
                <w:b/>
                <w:bCs/>
                <w:color w:val="5A5A5A"/>
                <w:sz w:val="18"/>
                <w:szCs w:val="18"/>
              </w:rPr>
            </w:pPr>
          </w:p>
        </w:tc>
        <w:tc>
          <w:tcPr>
            <w:tcW w:w="0" w:type="auto"/>
            <w:shd w:val="clear" w:color="auto" w:fill="FFFFFF"/>
            <w:vAlign w:val="center"/>
            <w:hideMark/>
          </w:tcPr>
          <w:p w:rsidR="00210AA1" w:rsidRDefault="00210AA1">
            <w:pPr>
              <w:rPr>
                <w:sz w:val="20"/>
                <w:szCs w:val="20"/>
              </w:rPr>
            </w:pPr>
          </w:p>
        </w:tc>
        <w:tc>
          <w:tcPr>
            <w:tcW w:w="0" w:type="auto"/>
            <w:shd w:val="clear" w:color="auto" w:fill="FFFFFF"/>
            <w:vAlign w:val="center"/>
            <w:hideMark/>
          </w:tcPr>
          <w:p w:rsidR="00210AA1" w:rsidRDefault="00210AA1">
            <w:pPr>
              <w:rPr>
                <w:rFonts w:ascii="Arial" w:hAnsi="Arial" w:cs="Arial"/>
                <w:color w:val="434343"/>
                <w:sz w:val="18"/>
                <w:szCs w:val="18"/>
              </w:rPr>
            </w:pPr>
            <w:r>
              <w:rPr>
                <w:rFonts w:ascii="Arial" w:hAnsi="Arial" w:cs="Arial"/>
                <w:color w:val="434343"/>
                <w:sz w:val="18"/>
                <w:szCs w:val="18"/>
              </w:rPr>
              <w:t>31 août 2022</w:t>
            </w:r>
          </w:p>
        </w:tc>
      </w:tr>
    </w:tbl>
    <w:p w:rsidR="00CA3F53" w:rsidRDefault="00CA3F53">
      <w:bookmarkStart w:id="0" w:name="_GoBack"/>
      <w:bookmarkEnd w:id="0"/>
    </w:p>
    <w:sectPr w:rsidR="00CA3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1"/>
    <w:rsid w:val="00210AA1"/>
    <w:rsid w:val="002B6B8B"/>
    <w:rsid w:val="002B7087"/>
    <w:rsid w:val="002D4D15"/>
    <w:rsid w:val="00303831"/>
    <w:rsid w:val="00CA3F53"/>
    <w:rsid w:val="00EF117D"/>
    <w:rsid w:val="00F70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CF3574-66DA-4976-861A-42EAB79D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ection0">
    <w:name w:val="titresection0"/>
    <w:basedOn w:val="Normal"/>
    <w:rsid w:val="00210AA1"/>
    <w:pPr>
      <w:spacing w:before="100" w:beforeAutospacing="1" w:after="100" w:afterAutospacing="1"/>
    </w:pPr>
  </w:style>
  <w:style w:type="paragraph" w:customStyle="1" w:styleId="txt">
    <w:name w:val="txt"/>
    <w:basedOn w:val="Normal"/>
    <w:rsid w:val="00210AA1"/>
    <w:pPr>
      <w:spacing w:before="100" w:beforeAutospacing="1" w:after="100" w:afterAutospacing="1"/>
    </w:pPr>
  </w:style>
  <w:style w:type="paragraph" w:customStyle="1" w:styleId="titresection">
    <w:name w:val="titresection"/>
    <w:basedOn w:val="Normal"/>
    <w:rsid w:val="00210AA1"/>
    <w:pPr>
      <w:spacing w:before="100" w:beforeAutospacing="1" w:after="100" w:afterAutospacing="1"/>
    </w:pPr>
  </w:style>
  <w:style w:type="character" w:styleId="Lienhypertexte">
    <w:name w:val="Hyperlink"/>
    <w:basedOn w:val="Policepardfaut"/>
    <w:uiPriority w:val="99"/>
    <w:unhideWhenUsed/>
    <w:rsid w:val="00210AA1"/>
    <w:rPr>
      <w:color w:val="0000FF"/>
      <w:u w:val="single"/>
    </w:rPr>
  </w:style>
  <w:style w:type="character" w:customStyle="1" w:styleId="bold">
    <w:name w:val="bold"/>
    <w:basedOn w:val="Policepardfaut"/>
    <w:rsid w:val="0021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ffe.ta-besancon@juradm.fr" TargetMode="External"/><Relationship Id="rId3" Type="http://schemas.openxmlformats.org/officeDocument/2006/relationships/webSettings" Target="webSettings.xml"/><Relationship Id="rId7" Type="http://schemas.openxmlformats.org/officeDocument/2006/relationships/hyperlink" Target="https://www.marches-securis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ches-securises.fr/" TargetMode="External"/><Relationship Id="rId11" Type="http://schemas.openxmlformats.org/officeDocument/2006/relationships/theme" Target="theme/theme1.xml"/><Relationship Id="rId5" Type="http://schemas.openxmlformats.org/officeDocument/2006/relationships/hyperlink" Target="http://www.marches-securises.fr/" TargetMode="External"/><Relationship Id="rId10" Type="http://schemas.openxmlformats.org/officeDocument/2006/relationships/fontTable" Target="fontTable.xml"/><Relationship Id="rId4" Type="http://schemas.openxmlformats.org/officeDocument/2006/relationships/hyperlink" Target="mailto:mobilites@grandbesancon.fr" TargetMode="External"/><Relationship Id="rId9" Type="http://schemas.openxmlformats.org/officeDocument/2006/relationships/hyperlink" Target="http://besancon.tribunal-administrati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1CA038D6.dotm</Template>
  <TotalTime>1</TotalTime>
  <Pages>6</Pages>
  <Words>2091</Words>
  <Characters>13069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Aurélie</dc:creator>
  <cp:keywords/>
  <dc:description/>
  <cp:lastModifiedBy>JOSEPH Aurélie</cp:lastModifiedBy>
  <cp:revision>1</cp:revision>
  <dcterms:created xsi:type="dcterms:W3CDTF">2022-08-31T13:06:00Z</dcterms:created>
  <dcterms:modified xsi:type="dcterms:W3CDTF">2022-08-31T13:07:00Z</dcterms:modified>
</cp:coreProperties>
</file>