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8412" w14:textId="3A795E1B" w:rsidR="000769ED" w:rsidRDefault="00624392"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6A31D377" wp14:editId="7081B13D">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4E759FA"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148A765E" wp14:editId="1EEBAA79">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42959B94" w14:textId="77777777" w:rsidR="00347E23" w:rsidRDefault="00347E23" w:rsidP="000769ED">
      <w:pPr>
        <w:jc w:val="right"/>
        <w:rPr>
          <w:rFonts w:cs="Times New Roman"/>
        </w:rPr>
      </w:pPr>
    </w:p>
    <w:p w14:paraId="007E4C1E" w14:textId="77777777" w:rsidR="000769ED" w:rsidRDefault="000769ED" w:rsidP="000769ED">
      <w:pPr>
        <w:jc w:val="right"/>
        <w:rPr>
          <w:rFonts w:cs="Times New Roman"/>
        </w:rPr>
      </w:pPr>
    </w:p>
    <w:p w14:paraId="66F4D4B1" w14:textId="77777777" w:rsidR="000769ED" w:rsidRPr="000769ED" w:rsidRDefault="000769ED" w:rsidP="000769ED">
      <w:pPr>
        <w:jc w:val="right"/>
        <w:rPr>
          <w:rFonts w:cs="Times New Roman"/>
        </w:rPr>
      </w:pPr>
    </w:p>
    <w:p w14:paraId="59906DE1"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14D439F1"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2CBF86E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4AA80AAA"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2BADEA0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9F9142B"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7387A3D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35A5505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208D0E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47442FCC"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1DEA902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4AAA2434" w14:textId="77777777" w:rsidR="00DA7C6E" w:rsidRDefault="00624392" w:rsidP="00624392">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7C3BC384"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3A131187" w14:textId="77777777" w:rsidR="00624392" w:rsidRDefault="00624392">
      <w:pPr>
        <w:autoSpaceDE w:val="0"/>
        <w:autoSpaceDN w:val="0"/>
        <w:adjustRightInd w:val="0"/>
        <w:spacing w:after="0" w:line="240" w:lineRule="auto"/>
        <w:jc w:val="both"/>
        <w:rPr>
          <w:rFonts w:ascii="Verdana" w:hAnsi="Verdana" w:cs="Times New Roman"/>
          <w:b/>
          <w:sz w:val="20"/>
          <w:szCs w:val="24"/>
        </w:rPr>
      </w:pPr>
    </w:p>
    <w:p w14:paraId="1BC89CFC" w14:textId="3DA33AC9"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4CBDCC31"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284F556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068D50CE"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76619B44"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198E74E5"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09272BF8" w14:textId="48BE0A70"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Marché public de travaux pour l'aménagement du quartier des Salobres à Saint-Cyprien - </w:t>
      </w:r>
    </w:p>
    <w:p w14:paraId="3ECE741A"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1148ED54"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35C567D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712E5389"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1947AF3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6E18F7E3"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4EEAC0CA"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travaux : Exécution</w:t>
      </w:r>
    </w:p>
    <w:p w14:paraId="1EF2F301"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69613D3C"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Saint-Cyprien</w:t>
      </w:r>
    </w:p>
    <w:p w14:paraId="527718C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3DFDD53F"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4DEA94A6"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3B55781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58EC4D9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45233120-6</w:t>
      </w:r>
    </w:p>
    <w:p w14:paraId="7C6967C7"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72BF39E5"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2D1D0918"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45233120-6</w:t>
      </w:r>
    </w:p>
    <w:p w14:paraId="4DF29DC8"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F9BE71B"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32400000-7</w:t>
      </w:r>
    </w:p>
    <w:p w14:paraId="4AFDF4C3"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0BA3C3B8"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45112710-5</w:t>
      </w:r>
    </w:p>
    <w:p w14:paraId="24982C62"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7CEB6A7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n°4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34928400-2</w:t>
      </w:r>
    </w:p>
    <w:p w14:paraId="6E604047"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7D8ED71B"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n°5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37524000-7</w:t>
      </w:r>
    </w:p>
    <w:p w14:paraId="6BDF15A0"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84D8DD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02474E8C"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049CF162"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 montant global estimé du marché est de 4 327 291.00 euros HT</w:t>
      </w:r>
    </w:p>
    <w:p w14:paraId="3A6B4FE1" w14:textId="77777777" w:rsidR="00624392" w:rsidRDefault="00624392">
      <w:pPr>
        <w:autoSpaceDE w:val="0"/>
        <w:autoSpaceDN w:val="0"/>
        <w:adjustRightInd w:val="0"/>
        <w:spacing w:after="0" w:line="240" w:lineRule="auto"/>
        <w:jc w:val="both"/>
        <w:rPr>
          <w:rFonts w:ascii="Verdana" w:hAnsi="Verdana" w:cs="Times New Roman"/>
          <w:b/>
          <w:sz w:val="20"/>
          <w:szCs w:val="24"/>
        </w:rPr>
      </w:pPr>
    </w:p>
    <w:p w14:paraId="13E4E9A4" w14:textId="08944016"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4FE3E30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748A5A4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Voirie Signalisation</w:t>
      </w:r>
      <w:r>
        <w:rPr>
          <w:rFonts w:ascii="Verdana" w:hAnsi="Verdana" w:cs="Times New Roman"/>
          <w:sz w:val="20"/>
          <w:szCs w:val="24"/>
        </w:rPr>
        <w:t xml:space="preserve"> </w:t>
      </w:r>
    </w:p>
    <w:p w14:paraId="7AB725C5"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5F30E2B0"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3061412 euros HT</w:t>
      </w:r>
    </w:p>
    <w:p w14:paraId="717557F8"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Réseaux secs</w:t>
      </w:r>
      <w:r>
        <w:rPr>
          <w:rFonts w:ascii="Verdana" w:hAnsi="Verdana" w:cs="Times New Roman"/>
          <w:sz w:val="20"/>
          <w:szCs w:val="24"/>
        </w:rPr>
        <w:t xml:space="preserve"> </w:t>
      </w:r>
    </w:p>
    <w:p w14:paraId="3DBCC3B9"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0DAD692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508175 euros HT</w:t>
      </w:r>
    </w:p>
    <w:p w14:paraId="50A7A195"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Espaces verts</w:t>
      </w:r>
      <w:r>
        <w:rPr>
          <w:rFonts w:ascii="Verdana" w:hAnsi="Verdana" w:cs="Times New Roman"/>
          <w:sz w:val="20"/>
          <w:szCs w:val="24"/>
        </w:rPr>
        <w:t xml:space="preserve"> </w:t>
      </w:r>
    </w:p>
    <w:p w14:paraId="49EEB59C"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65B9EB6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604404 euros HT</w:t>
      </w:r>
    </w:p>
    <w:p w14:paraId="28889E12"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n°4 Mobilier urbain</w:t>
      </w:r>
      <w:r>
        <w:rPr>
          <w:rFonts w:ascii="Verdana" w:hAnsi="Verdana" w:cs="Times New Roman"/>
          <w:sz w:val="20"/>
          <w:szCs w:val="24"/>
        </w:rPr>
        <w:t xml:space="preserve"> </w:t>
      </w:r>
    </w:p>
    <w:p w14:paraId="1C24CF3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4B2F2190"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84600 euros HT</w:t>
      </w:r>
    </w:p>
    <w:p w14:paraId="6A277950"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n°5 Aire de jeux</w:t>
      </w:r>
      <w:r>
        <w:rPr>
          <w:rFonts w:ascii="Verdana" w:hAnsi="Verdana" w:cs="Times New Roman"/>
          <w:sz w:val="20"/>
          <w:szCs w:val="24"/>
        </w:rPr>
        <w:t xml:space="preserve"> </w:t>
      </w:r>
    </w:p>
    <w:p w14:paraId="0765D06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67F8A6D4"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68700 euros HT</w:t>
      </w:r>
    </w:p>
    <w:p w14:paraId="492501AF"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2BBE7B48"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458C316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2E510C3F"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764FAB12"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6962B7BD"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0B2FC49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a une durée prévisionnelle de 36 mois.</w:t>
      </w:r>
    </w:p>
    <w:p w14:paraId="4294F8FE"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8210DF3"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7210FC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A66F95F"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4B796E34"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0C859FAE"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7D4B8111"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4A3657B"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1B7906B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0D034498"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16B31D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n°3 :</w:t>
      </w:r>
    </w:p>
    <w:p w14:paraId="1863EEE8"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4CD1000A"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08FB5D99"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n°4 :</w:t>
      </w:r>
    </w:p>
    <w:p w14:paraId="2E426184"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43A3E1DD"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011CBE1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n°5 :</w:t>
      </w:r>
    </w:p>
    <w:p w14:paraId="46B64EC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5AF905E1"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1E63690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66C0CE50"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0DB7C9A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5EC0B9E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L'acheteur exclut les personnes qui, par leur participation préalable directe ou indirecte à la préparation de la procédure de passation du marché public, ont eu accès à des informations susceptibles de créer une distorsion de concurrence par rapport aux autres candidats, lorsqu'il ne peut être remédié à cette situation par d'autres moyens.</w:t>
      </w:r>
    </w:p>
    <w:p w14:paraId="22A9AF4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62B561F9"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37C75FB"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38C706E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4661D61E"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326007D4"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29191C12" w14:textId="77777777" w:rsidR="00DA7C6E" w:rsidRDefault="00624392">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4356A007"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suivant:Registre du commerce et des sociétés ou répertoire des métiers ou équivalent européen.</w:t>
      </w:r>
    </w:p>
    <w:p w14:paraId="6D45FCF0"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31057F92"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3AFBCB99"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spécifique pour le nombre d'exercices requis.</w:t>
      </w:r>
    </w:p>
    <w:p w14:paraId="68BE71F7"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6D26F236"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0A26E786"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Mention des références travaux sur une période de 2 ans.</w:t>
      </w:r>
    </w:p>
    <w:p w14:paraId="118CB45C"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systèmes de gestion et de suivi de la chaîne d'approvisionnement qui seront mis en place par l'opérateur économique</w:t>
      </w:r>
    </w:p>
    <w:p w14:paraId="5DEFD522"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54D05D88" w14:textId="77777777" w:rsidR="00DA7C6E" w:rsidRDefault="00624392" w:rsidP="0062439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58A0FEA0"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3552042"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3C35F89"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5935099F"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2BF0674"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200C5F67" w14:textId="77777777" w:rsidR="00624392" w:rsidRDefault="00624392">
      <w:pPr>
        <w:autoSpaceDE w:val="0"/>
        <w:autoSpaceDN w:val="0"/>
        <w:adjustRightInd w:val="0"/>
        <w:spacing w:after="0" w:line="240" w:lineRule="auto"/>
        <w:jc w:val="both"/>
        <w:rPr>
          <w:rFonts w:ascii="Verdana" w:hAnsi="Verdana" w:cs="Times New Roman"/>
          <w:b/>
          <w:sz w:val="20"/>
          <w:szCs w:val="24"/>
        </w:rPr>
      </w:pPr>
    </w:p>
    <w:p w14:paraId="55678D58" w14:textId="1B5B7E63"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Concernant le lot n°1 Voirie Signalisation:</w:t>
      </w:r>
    </w:p>
    <w:p w14:paraId="00A656D1"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085D4E58"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72D2F348" w14:textId="6AA99025"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pondéré à 45 sur 100 points.</w:t>
      </w:r>
    </w:p>
    <w:p w14:paraId="21CBFE7B"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3A35BD88" w14:textId="0F04A57B"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pondéré à 55 sur 100 points.</w:t>
      </w:r>
    </w:p>
    <w:p w14:paraId="3AB4E931" w14:textId="404D139C" w:rsidR="00DA7C6E" w:rsidRDefault="00DA7C6E">
      <w:pPr>
        <w:autoSpaceDE w:val="0"/>
        <w:autoSpaceDN w:val="0"/>
        <w:adjustRightInd w:val="0"/>
        <w:spacing w:after="0" w:line="240" w:lineRule="auto"/>
        <w:jc w:val="both"/>
        <w:rPr>
          <w:rFonts w:ascii="Verdana" w:hAnsi="Verdana" w:cs="Times New Roman"/>
          <w:sz w:val="20"/>
          <w:szCs w:val="24"/>
        </w:rPr>
      </w:pPr>
    </w:p>
    <w:p w14:paraId="67F61CCA" w14:textId="67BB5868" w:rsidR="00624392" w:rsidRDefault="00624392">
      <w:pPr>
        <w:autoSpaceDE w:val="0"/>
        <w:autoSpaceDN w:val="0"/>
        <w:adjustRightInd w:val="0"/>
        <w:spacing w:after="0" w:line="240" w:lineRule="auto"/>
        <w:jc w:val="both"/>
        <w:rPr>
          <w:rFonts w:ascii="Verdana" w:hAnsi="Verdana" w:cs="Times New Roman"/>
          <w:sz w:val="20"/>
          <w:szCs w:val="24"/>
        </w:rPr>
      </w:pPr>
    </w:p>
    <w:p w14:paraId="193B849F" w14:textId="77777777" w:rsidR="00624392" w:rsidRDefault="00624392">
      <w:pPr>
        <w:autoSpaceDE w:val="0"/>
        <w:autoSpaceDN w:val="0"/>
        <w:adjustRightInd w:val="0"/>
        <w:spacing w:after="0" w:line="240" w:lineRule="auto"/>
        <w:jc w:val="both"/>
        <w:rPr>
          <w:rFonts w:ascii="Verdana" w:hAnsi="Verdana" w:cs="Times New Roman"/>
          <w:sz w:val="20"/>
          <w:szCs w:val="24"/>
        </w:rPr>
      </w:pPr>
    </w:p>
    <w:p w14:paraId="4962CE06"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Concernant le lot n°2 Réseaux secs:</w:t>
      </w:r>
    </w:p>
    <w:p w14:paraId="6E86921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3BA09637"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AA686E5" w14:textId="510A744F"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des prestations pondéré à 45 sur 100 points.</w:t>
      </w:r>
    </w:p>
    <w:p w14:paraId="4191E060"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4A7F6571" w14:textId="00CAD28D"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pondéré à 55 sur 100 points.</w:t>
      </w:r>
    </w:p>
    <w:p w14:paraId="14636CA1"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454B2864"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Concernant le lot n°3 Espaces verts:</w:t>
      </w:r>
    </w:p>
    <w:p w14:paraId="6F595E3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5281492A"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793DDA83" w14:textId="078B7B2F"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pondéré à 45 sur 100 points.</w:t>
      </w:r>
    </w:p>
    <w:p w14:paraId="54F4BE10"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A1FA1D6" w14:textId="0D1EF184"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pondéré à 55 sur 100 points.</w:t>
      </w:r>
    </w:p>
    <w:p w14:paraId="0A9085A8"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5643B9F"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Concernant le lot n°4 Mobilier urbain:</w:t>
      </w:r>
    </w:p>
    <w:p w14:paraId="51502870"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0B2C3D30"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71D9AA5" w14:textId="3CD170B8"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pondéré à 45 sur 100 points.</w:t>
      </w:r>
    </w:p>
    <w:p w14:paraId="25C28ABA"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3EB38BB0" w14:textId="68753D74"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pondéré à 55 sur 100 points.</w:t>
      </w:r>
    </w:p>
    <w:p w14:paraId="0902C5E5"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4A6E8555"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Concernant le lot n°5 Aire de jeux:</w:t>
      </w:r>
    </w:p>
    <w:p w14:paraId="0CFDEEF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04C622FA"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0BCE5DD" w14:textId="07DA794A"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pondéré à 45 sur 100 points.</w:t>
      </w:r>
    </w:p>
    <w:p w14:paraId="79CB1EB5"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258F845" w14:textId="37D27B82"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pondéré à 55 sur 100 points.</w:t>
      </w:r>
    </w:p>
    <w:p w14:paraId="0A395CEB"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5AE49CF"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1A526B02"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66DFF94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N°23TR050</w:t>
      </w:r>
    </w:p>
    <w:p w14:paraId="396AF28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56E822A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05/07/2023</w:t>
      </w:r>
    </w:p>
    <w:p w14:paraId="22863E2E" w14:textId="30A4D6EE"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w:t>
      </w:r>
      <w:r w:rsidR="004E179B">
        <w:rPr>
          <w:rFonts w:ascii="Verdana" w:hAnsi="Verdana" w:cs="Times New Roman"/>
          <w:sz w:val="20"/>
          <w:szCs w:val="24"/>
        </w:rPr>
        <w:t>18</w:t>
      </w:r>
      <w:r>
        <w:rPr>
          <w:rFonts w:ascii="Verdana" w:hAnsi="Verdana" w:cs="Times New Roman"/>
          <w:sz w:val="20"/>
          <w:szCs w:val="24"/>
        </w:rPr>
        <w:t>/08/2023 à 15:00</w:t>
      </w:r>
    </w:p>
    <w:p w14:paraId="130C3891"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56E2BB96"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3434A13"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77D99E9"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088665C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26FB2683"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0C01314E"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24CD3C47"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708E3972"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1B3EB976" w14:textId="20D8FDEC"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2023 et suivants.</w:t>
      </w:r>
    </w:p>
    <w:p w14:paraId="505D9ED6"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32A34FB6"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3E35B609"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2D954499"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52756671"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7CE7D41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64C15F48"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9714C02"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3A7DD66C" w14:textId="77777777" w:rsidR="00DA7C6E" w:rsidRDefault="00624392" w:rsidP="0062439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0897C414" w14:textId="77777777" w:rsidR="00DA7C6E" w:rsidRDefault="00624392" w:rsidP="0062439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4149FAB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E25562A"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09676ED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6014D373"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1A00C15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Service pour renseignements sur recours</w:t>
      </w:r>
      <w:r>
        <w:rPr>
          <w:rFonts w:ascii="Verdana" w:hAnsi="Verdana" w:cs="Times New Roman"/>
          <w:sz w:val="20"/>
          <w:szCs w:val="24"/>
        </w:rPr>
        <w:t xml:space="preserve"> </w:t>
      </w:r>
    </w:p>
    <w:p w14:paraId="2A05E2ED"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3EDF5A0A"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198E177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7B26DDE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1D1D126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7F571D7A"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4C12D664"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09B7AAF3"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6625DFFA"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60E6065"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0094F61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6DB152FA"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46C9285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2E1EAAF1"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69909EA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6C22D12B"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0EBF456D"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5AD7222A"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0A468E9C"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4FD9B8FC"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6E9A6BDE"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35291910"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04B34692" w14:textId="3F921C74"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635A602F" w14:textId="77777777" w:rsidR="00624392" w:rsidRDefault="00624392">
      <w:pPr>
        <w:autoSpaceDE w:val="0"/>
        <w:autoSpaceDN w:val="0"/>
        <w:adjustRightInd w:val="0"/>
        <w:spacing w:after="0" w:line="240" w:lineRule="auto"/>
        <w:jc w:val="both"/>
        <w:rPr>
          <w:rFonts w:ascii="Verdana" w:hAnsi="Verdana" w:cs="Times New Roman"/>
          <w:sz w:val="20"/>
          <w:szCs w:val="24"/>
        </w:rPr>
      </w:pPr>
    </w:p>
    <w:p w14:paraId="6CA6F4A7"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5C048B8D" w14:textId="77777777" w:rsidR="00DA7C6E" w:rsidRDefault="006243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50105289"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1D3B3F18"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6 jours avant la date limite de réception des plis.</w:t>
      </w:r>
    </w:p>
    <w:p w14:paraId="04F02FB9"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0D6381EF"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3D7C6A5E"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690968FE" w14:textId="77777777" w:rsidR="00DA7C6E" w:rsidRDefault="00624392" w:rsidP="0062439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290DD81A"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32832A4"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082B8537"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08A234F9"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51D6EB74"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3D13A76B"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60A8B6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4D9234CC"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7D005C29"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11DC79D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23C25EB" w14:textId="77777777" w:rsidR="00DA7C6E" w:rsidRDefault="00624392" w:rsidP="0062439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68879444"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44FE41F"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77EF56EB"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33E67786"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2B8416CA"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056B055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5B7EEA2"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2C4AA082"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45FC652E"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7EC27A43" w14:textId="77777777" w:rsidR="00DA7C6E" w:rsidRDefault="006243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5D95368"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7D616204" w14:textId="77777777" w:rsidR="00DA7C6E" w:rsidRDefault="00DA7C6E">
      <w:pPr>
        <w:autoSpaceDE w:val="0"/>
        <w:autoSpaceDN w:val="0"/>
        <w:adjustRightInd w:val="0"/>
        <w:spacing w:after="0" w:line="240" w:lineRule="auto"/>
        <w:jc w:val="both"/>
        <w:rPr>
          <w:rFonts w:ascii="Verdana" w:hAnsi="Verdana" w:cs="Times New Roman"/>
          <w:sz w:val="20"/>
          <w:szCs w:val="24"/>
        </w:rPr>
      </w:pPr>
    </w:p>
    <w:p w14:paraId="1BFA3E39" w14:textId="77777777" w:rsidR="00DA7C6E" w:rsidRDefault="00DA7C6E">
      <w:pPr>
        <w:autoSpaceDE w:val="0"/>
        <w:autoSpaceDN w:val="0"/>
        <w:adjustRightInd w:val="0"/>
        <w:spacing w:after="0" w:line="240" w:lineRule="auto"/>
        <w:jc w:val="both"/>
        <w:rPr>
          <w:rFonts w:ascii="Verdana" w:hAnsi="Verdana" w:cs="Times New Roman"/>
          <w:sz w:val="20"/>
          <w:szCs w:val="24"/>
        </w:rPr>
      </w:pPr>
    </w:p>
    <w:sectPr w:rsidR="00DA7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0684C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4E179B"/>
    <w:rsid w:val="00624392"/>
    <w:rsid w:val="00A507EE"/>
    <w:rsid w:val="00AC62D9"/>
    <w:rsid w:val="00DA7C6E"/>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00159"/>
  <w14:defaultImageDpi w14:val="0"/>
  <w15:docId w15:val="{F20C49AC-BF4F-47A1-A249-54404AEE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1741</Words>
  <Characters>10009</Characters>
  <Application>Microsoft Office Word</Application>
  <DocSecurity>0</DocSecurity>
  <Lines>83</Lines>
  <Paragraphs>23</Paragraphs>
  <ScaleCrop>false</ScaleCrop>
  <Company>HP</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2023-07-03T07:24:00Z</dcterms:created>
  <dcterms:modified xsi:type="dcterms:W3CDTF">2023-07-03T09:08:00Z</dcterms:modified>
</cp:coreProperties>
</file>