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DA" w:rsidRDefault="006415DA">
      <w:pPr>
        <w:pBdr>
          <w:left w:val="none" w:sz="0" w:space="19" w:color="auto"/>
        </w:pBdr>
        <w:spacing w:after="0"/>
        <w:rPr>
          <w:rFonts w:ascii="Arial" w:hAnsi="Arial"/>
          <w:b/>
          <w:i/>
          <w:color w:val="5A5A5A"/>
          <w:sz w:val="18"/>
        </w:rPr>
      </w:pPr>
    </w:p>
    <w:p w:rsidR="006415DA" w:rsidRPr="006415DA" w:rsidRDefault="006415DA" w:rsidP="006415DA">
      <w:pPr>
        <w:jc w:val="center"/>
        <w:rPr>
          <w:rFonts w:ascii="Trebuchet MS" w:eastAsia="Calibri" w:hAnsi="Trebuchet MS" w:cs="Times New Roman"/>
          <w:sz w:val="24"/>
          <w:szCs w:val="24"/>
        </w:rPr>
      </w:pPr>
      <w:r w:rsidRPr="006415DA">
        <w:rPr>
          <w:rFonts w:ascii="Trebuchet MS" w:eastAsia="Calibri" w:hAnsi="Trebuchet MS" w:cs="Times New Roman"/>
          <w:noProof/>
          <w:sz w:val="24"/>
          <w:szCs w:val="24"/>
        </w:rPr>
        <w:drawing>
          <wp:inline distT="0" distB="0" distL="0" distR="0" wp14:anchorId="750A6229" wp14:editId="43C84E30">
            <wp:extent cx="3219450" cy="981075"/>
            <wp:effectExtent l="0" t="0" r="0"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981075"/>
                    </a:xfrm>
                    <a:prstGeom prst="rect">
                      <a:avLst/>
                    </a:prstGeom>
                    <a:noFill/>
                    <a:ln>
                      <a:noFill/>
                    </a:ln>
                  </pic:spPr>
                </pic:pic>
              </a:graphicData>
            </a:graphic>
          </wp:inline>
        </w:drawing>
      </w:r>
    </w:p>
    <w:p w:rsidR="006415DA" w:rsidRPr="006415DA" w:rsidRDefault="006415DA" w:rsidP="006415DA">
      <w:pPr>
        <w:spacing w:after="0"/>
        <w:jc w:val="center"/>
        <w:rPr>
          <w:rFonts w:ascii="Trebuchet MS" w:eastAsia="Calibri" w:hAnsi="Trebuchet MS" w:cs="Times New Roman"/>
          <w:sz w:val="24"/>
          <w:szCs w:val="24"/>
        </w:rPr>
      </w:pPr>
      <w:r w:rsidRPr="006415DA">
        <w:rPr>
          <w:rFonts w:ascii="Trebuchet MS" w:eastAsia="Calibri" w:hAnsi="Trebuchet MS" w:cs="Times New Roman"/>
          <w:sz w:val="24"/>
          <w:szCs w:val="24"/>
        </w:rPr>
        <w:t>Office Public de l’Habitat - 19, rue Honoré de Balzac, 42000 SAINT ETIENNE.</w:t>
      </w:r>
    </w:p>
    <w:p w:rsidR="006415DA" w:rsidRPr="006415DA" w:rsidRDefault="006415DA" w:rsidP="006415DA">
      <w:pPr>
        <w:spacing w:after="0"/>
        <w:jc w:val="center"/>
        <w:rPr>
          <w:rFonts w:ascii="Trebuchet MS" w:eastAsia="Calibri" w:hAnsi="Trebuchet MS" w:cs="Times New Roman"/>
          <w:sz w:val="24"/>
          <w:szCs w:val="24"/>
        </w:rPr>
      </w:pPr>
      <w:r w:rsidRPr="006415DA">
        <w:rPr>
          <w:rFonts w:ascii="Trebuchet MS" w:eastAsia="Calibri" w:hAnsi="Trebuchet MS" w:cs="Times New Roman"/>
          <w:sz w:val="24"/>
          <w:szCs w:val="24"/>
          <w:highlight w:val="yellow"/>
        </w:rPr>
        <w:t>Le pouvoir adjudicateur n'agit pas pour le compte d'autres pouvoirs adjudicateurs.</w:t>
      </w:r>
    </w:p>
    <w:p w:rsidR="006415DA" w:rsidRPr="006415DA" w:rsidRDefault="006415DA" w:rsidP="006415DA">
      <w:pPr>
        <w:jc w:val="center"/>
        <w:rPr>
          <w:rFonts w:ascii="Trebuchet MS" w:eastAsia="Calibri" w:hAnsi="Trebuchet MS" w:cs="Times New Roman"/>
          <w:sz w:val="24"/>
          <w:szCs w:val="24"/>
        </w:rPr>
      </w:pPr>
    </w:p>
    <w:p w:rsidR="006415DA" w:rsidRPr="006415DA" w:rsidRDefault="006415DA" w:rsidP="006415DA">
      <w:pPr>
        <w:spacing w:after="0"/>
        <w:jc w:val="center"/>
        <w:rPr>
          <w:rFonts w:ascii="Trebuchet MS" w:eastAsia="Calibri" w:hAnsi="Trebuchet MS" w:cs="Times New Roman"/>
          <w:b/>
          <w:sz w:val="28"/>
          <w:szCs w:val="28"/>
          <w:bdr w:val="single" w:sz="4" w:space="0" w:color="auto" w:frame="1"/>
        </w:rPr>
      </w:pPr>
      <w:r w:rsidRPr="006415DA">
        <w:rPr>
          <w:rFonts w:ascii="Trebuchet MS" w:eastAsia="Calibri" w:hAnsi="Trebuchet MS" w:cs="Times New Roman"/>
          <w:b/>
          <w:sz w:val="28"/>
          <w:szCs w:val="28"/>
          <w:bdr w:val="single" w:sz="4" w:space="0" w:color="auto" w:frame="1"/>
        </w:rPr>
        <w:t>Avis d'appel public à la concurrence</w:t>
      </w:r>
      <w:bookmarkStart w:id="0" w:name="I"/>
      <w:bookmarkEnd w:id="0"/>
    </w:p>
    <w:p w:rsidR="006415DA" w:rsidRPr="006415DA" w:rsidRDefault="006415DA" w:rsidP="006415DA">
      <w:pPr>
        <w:spacing w:after="0"/>
        <w:rPr>
          <w:rFonts w:ascii="Arial" w:eastAsia="Calibri" w:hAnsi="Arial" w:cs="Times New Roman"/>
          <w:b/>
          <w:i/>
          <w:color w:val="5A5A5A"/>
          <w:sz w:val="18"/>
        </w:rPr>
      </w:pPr>
    </w:p>
    <w:p w:rsidR="006415DA" w:rsidRPr="006415DA" w:rsidRDefault="006415DA" w:rsidP="006415DA">
      <w:pPr>
        <w:spacing w:after="0"/>
        <w:rPr>
          <w:rFonts w:ascii="Arial" w:eastAsia="Calibri" w:hAnsi="Arial" w:cs="Times New Roman"/>
          <w:b/>
          <w:i/>
          <w:color w:val="5A5A5A"/>
          <w:sz w:val="18"/>
        </w:rPr>
      </w:pPr>
    </w:p>
    <w:p w:rsidR="006415DA" w:rsidRPr="006415DA" w:rsidRDefault="006415DA" w:rsidP="006415DA">
      <w:pPr>
        <w:spacing w:after="0"/>
        <w:rPr>
          <w:rFonts w:ascii="Arial" w:eastAsia="Calibri" w:hAnsi="Arial" w:cs="Times New Roman"/>
          <w:b/>
          <w:i/>
          <w:color w:val="5A5A5A"/>
          <w:sz w:val="18"/>
        </w:rPr>
      </w:pPr>
    </w:p>
    <w:p w:rsidR="006415DA" w:rsidRPr="006415DA" w:rsidRDefault="006415DA" w:rsidP="006415DA">
      <w:pPr>
        <w:spacing w:after="0"/>
        <w:rPr>
          <w:rFonts w:ascii="Trebuchet MS" w:eastAsia="Calibri" w:hAnsi="Trebuchet MS" w:cs="Times New Roman"/>
          <w:sz w:val="20"/>
          <w:szCs w:val="20"/>
        </w:rPr>
      </w:pPr>
      <w:r w:rsidRPr="006415DA">
        <w:rPr>
          <w:rFonts w:ascii="Trebuchet MS" w:eastAsia="Calibri" w:hAnsi="Trebuchet MS" w:cs="Times New Roman"/>
          <w:b/>
          <w:i/>
          <w:color w:val="5A5A5A"/>
          <w:sz w:val="20"/>
          <w:szCs w:val="20"/>
        </w:rPr>
        <w:t>Nom et adresse officiels de l'organisme acheteur :</w:t>
      </w:r>
    </w:p>
    <w:p w:rsidR="006415DA" w:rsidRPr="006415DA" w:rsidRDefault="006415DA" w:rsidP="006415DA">
      <w:pPr>
        <w:rPr>
          <w:rFonts w:ascii="Trebuchet MS" w:eastAsia="Calibri" w:hAnsi="Trebuchet MS" w:cs="Arial"/>
          <w:sz w:val="20"/>
          <w:szCs w:val="20"/>
          <w:lang w:eastAsia="fr-FR"/>
        </w:rPr>
      </w:pPr>
      <w:r w:rsidRPr="006415DA">
        <w:rPr>
          <w:rFonts w:ascii="Trebuchet MS" w:eastAsia="Calibri" w:hAnsi="Trebuchet MS" w:cs="Times New Roman"/>
          <w:color w:val="434343"/>
          <w:sz w:val="20"/>
          <w:szCs w:val="20"/>
        </w:rPr>
        <w:t>HABITAT &amp; METROPOLE</w:t>
      </w:r>
      <w:r w:rsidRPr="006415DA">
        <w:rPr>
          <w:rFonts w:ascii="Trebuchet MS" w:eastAsia="Calibri" w:hAnsi="Trebuchet MS" w:cs="Times New Roman"/>
          <w:sz w:val="20"/>
          <w:szCs w:val="20"/>
        </w:rPr>
        <w:br/>
      </w:r>
      <w:r w:rsidRPr="006415DA">
        <w:rPr>
          <w:rFonts w:ascii="Trebuchet MS" w:eastAsia="Calibri" w:hAnsi="Trebuchet MS" w:cs="Times New Roman"/>
          <w:color w:val="434343"/>
          <w:sz w:val="20"/>
          <w:szCs w:val="20"/>
        </w:rPr>
        <w:t xml:space="preserve">Correspondant : MME PENEL Magali, assistante appel offre d'HABITAT &amp; MÉTROPOLE, 19, rue Honoré de </w:t>
      </w:r>
      <w:proofErr w:type="gramStart"/>
      <w:r w:rsidRPr="006415DA">
        <w:rPr>
          <w:rFonts w:ascii="Trebuchet MS" w:eastAsia="Calibri" w:hAnsi="Trebuchet MS" w:cs="Times New Roman"/>
          <w:color w:val="434343"/>
          <w:sz w:val="20"/>
          <w:szCs w:val="20"/>
        </w:rPr>
        <w:t>Balzac ,</w:t>
      </w:r>
      <w:proofErr w:type="gramEnd"/>
      <w:r w:rsidRPr="006415DA">
        <w:rPr>
          <w:rFonts w:ascii="Trebuchet MS" w:eastAsia="Calibri" w:hAnsi="Trebuchet MS" w:cs="Times New Roman"/>
          <w:color w:val="434343"/>
          <w:sz w:val="20"/>
          <w:szCs w:val="20"/>
        </w:rPr>
        <w:t xml:space="preserve"> 42028 SAINT ETIENNE. </w:t>
      </w:r>
      <w:proofErr w:type="gramStart"/>
      <w:r w:rsidRPr="006415DA">
        <w:rPr>
          <w:rFonts w:ascii="Trebuchet MS" w:eastAsia="Calibri" w:hAnsi="Trebuchet MS" w:cs="Times New Roman"/>
          <w:color w:val="434343"/>
          <w:sz w:val="20"/>
          <w:szCs w:val="20"/>
        </w:rPr>
        <w:t>Tél:</w:t>
      </w:r>
      <w:proofErr w:type="gramEnd"/>
      <w:r w:rsidRPr="006415DA">
        <w:rPr>
          <w:rFonts w:ascii="Trebuchet MS" w:eastAsia="Calibri" w:hAnsi="Trebuchet MS" w:cs="Times New Roman"/>
          <w:color w:val="434343"/>
          <w:sz w:val="20"/>
          <w:szCs w:val="20"/>
        </w:rPr>
        <w:t xml:space="preserve"> </w:t>
      </w:r>
      <w:r w:rsidRPr="006415DA">
        <w:rPr>
          <w:rFonts w:ascii="Trebuchet MS" w:eastAsia="Calibri" w:hAnsi="Trebuchet MS" w:cs="Arial"/>
          <w:color w:val="000000"/>
          <w:sz w:val="20"/>
          <w:szCs w:val="20"/>
          <w:lang w:eastAsia="fr-FR"/>
        </w:rPr>
        <w:t>04 77 42 62 24</w:t>
      </w:r>
      <w:r w:rsidRPr="006415DA">
        <w:rPr>
          <w:rFonts w:ascii="Trebuchet MS" w:eastAsia="Calibri" w:hAnsi="Trebuchet MS" w:cs="Times New Roman"/>
          <w:color w:val="434343"/>
          <w:sz w:val="20"/>
          <w:szCs w:val="20"/>
        </w:rPr>
        <w:t xml:space="preserve">. </w:t>
      </w:r>
      <w:proofErr w:type="gramStart"/>
      <w:r w:rsidRPr="006415DA">
        <w:rPr>
          <w:rFonts w:ascii="Trebuchet MS" w:eastAsia="Calibri" w:hAnsi="Trebuchet MS" w:cs="Times New Roman"/>
          <w:color w:val="434343"/>
          <w:sz w:val="20"/>
          <w:szCs w:val="20"/>
        </w:rPr>
        <w:t>Courriel:</w:t>
      </w:r>
      <w:proofErr w:type="gramEnd"/>
      <w:r w:rsidRPr="006415DA">
        <w:rPr>
          <w:rFonts w:ascii="Trebuchet MS" w:eastAsia="Calibri" w:hAnsi="Trebuchet MS" w:cs="Times New Roman"/>
          <w:color w:val="434343"/>
          <w:sz w:val="20"/>
          <w:szCs w:val="20"/>
        </w:rPr>
        <w:t xml:space="preserve"> </w:t>
      </w:r>
      <w:hyperlink r:id="rId5" w:history="1">
        <w:r w:rsidRPr="006415DA">
          <w:rPr>
            <w:rFonts w:ascii="Trebuchet MS" w:eastAsia="Calibri" w:hAnsi="Trebuchet MS" w:cs="Arial"/>
            <w:color w:val="0563C1" w:themeColor="hyperlink"/>
            <w:sz w:val="20"/>
            <w:szCs w:val="20"/>
            <w:u w:val="single"/>
            <w:lang w:eastAsia="fr-FR"/>
          </w:rPr>
          <w:t>magali.penel@habitat-metropole.fr</w:t>
        </w:r>
      </w:hyperlink>
      <w:r w:rsidRPr="006415DA">
        <w:rPr>
          <w:rFonts w:ascii="Trebuchet MS" w:eastAsia="Calibri" w:hAnsi="Trebuchet MS" w:cs="Times New Roman"/>
          <w:color w:val="434343"/>
          <w:sz w:val="20"/>
          <w:szCs w:val="20"/>
        </w:rPr>
        <w:t xml:space="preserve">. Adresse </w:t>
      </w:r>
      <w:proofErr w:type="gramStart"/>
      <w:r w:rsidRPr="006415DA">
        <w:rPr>
          <w:rFonts w:ascii="Trebuchet MS" w:eastAsia="Calibri" w:hAnsi="Trebuchet MS" w:cs="Times New Roman"/>
          <w:color w:val="434343"/>
          <w:sz w:val="20"/>
          <w:szCs w:val="20"/>
        </w:rPr>
        <w:t>internet:</w:t>
      </w:r>
      <w:proofErr w:type="gramEnd"/>
      <w:r w:rsidRPr="006415DA">
        <w:rPr>
          <w:rFonts w:ascii="Trebuchet MS" w:eastAsia="Calibri" w:hAnsi="Trebuchet MS" w:cs="Times New Roman"/>
          <w:color w:val="434343"/>
          <w:sz w:val="20"/>
          <w:szCs w:val="20"/>
        </w:rPr>
        <w:t xml:space="preserve"> </w:t>
      </w:r>
      <w:hyperlink r:id="rId6" w:history="1">
        <w:r w:rsidRPr="006415DA">
          <w:rPr>
            <w:rFonts w:ascii="Trebuchet MS" w:eastAsia="Calibri" w:hAnsi="Trebuchet MS" w:cs="Times New Roman"/>
            <w:color w:val="0000FF"/>
            <w:sz w:val="20"/>
            <w:szCs w:val="20"/>
            <w:u w:val="single"/>
          </w:rPr>
          <w:t>https://www.habitat-metropole.fr</w:t>
        </w:r>
      </w:hyperlink>
      <w:r w:rsidRPr="006415DA">
        <w:rPr>
          <w:rFonts w:ascii="Trebuchet MS" w:eastAsia="Calibri" w:hAnsi="Trebuchet MS" w:cs="Times New Roman"/>
          <w:sz w:val="20"/>
          <w:szCs w:val="20"/>
        </w:rPr>
        <w:br/>
      </w:r>
      <w:r w:rsidRPr="006415DA">
        <w:rPr>
          <w:rFonts w:ascii="Trebuchet MS" w:eastAsia="Calibri" w:hAnsi="Trebuchet MS" w:cs="Times New Roman"/>
          <w:color w:val="434343"/>
          <w:sz w:val="20"/>
          <w:szCs w:val="20"/>
        </w:rPr>
        <w:t xml:space="preserve">Adresse internet du profil d'acheteur: </w:t>
      </w:r>
      <w:hyperlink r:id="rId7" w:history="1">
        <w:r w:rsidRPr="006415DA">
          <w:rPr>
            <w:rFonts w:ascii="Trebuchet MS" w:eastAsia="Calibri" w:hAnsi="Trebuchet MS" w:cs="Times New Roman"/>
            <w:color w:val="0000FF"/>
            <w:sz w:val="20"/>
            <w:szCs w:val="20"/>
            <w:u w:val="single"/>
          </w:rPr>
          <w:t>https://www.marches-securises.fr</w:t>
        </w:r>
      </w:hyperlink>
    </w:p>
    <w:p w:rsidR="006415DA" w:rsidRPr="006415DA" w:rsidRDefault="006415DA" w:rsidP="006415DA">
      <w:pPr>
        <w:spacing w:after="0"/>
        <w:rPr>
          <w:rFonts w:ascii="Trebuchet MS" w:eastAsia="Calibri" w:hAnsi="Trebuchet MS" w:cs="Times New Roman"/>
          <w:sz w:val="20"/>
          <w:szCs w:val="20"/>
        </w:rPr>
      </w:pPr>
      <w:r w:rsidRPr="006415DA">
        <w:rPr>
          <w:rFonts w:ascii="Trebuchet MS" w:eastAsia="Calibri" w:hAnsi="Trebuchet MS" w:cs="Times New Roman"/>
          <w:b/>
          <w:i/>
          <w:color w:val="5A5A5A"/>
          <w:sz w:val="20"/>
          <w:szCs w:val="20"/>
        </w:rPr>
        <w:t>Principale(s) Activité(s) du pouvoir adjudicateur :</w:t>
      </w:r>
    </w:p>
    <w:p w:rsidR="006415DA" w:rsidRPr="006415DA" w:rsidRDefault="006415DA" w:rsidP="006415DA">
      <w:pPr>
        <w:spacing w:after="0"/>
        <w:rPr>
          <w:rFonts w:ascii="Trebuchet MS" w:eastAsia="Calibri" w:hAnsi="Trebuchet MS" w:cs="Times New Roman"/>
          <w:sz w:val="20"/>
          <w:szCs w:val="20"/>
        </w:rPr>
      </w:pPr>
      <w:r w:rsidRPr="006415DA">
        <w:rPr>
          <w:rFonts w:ascii="Trebuchet MS" w:eastAsia="Calibri" w:hAnsi="Trebuchet MS" w:cs="Times New Roman"/>
          <w:color w:val="434343"/>
          <w:sz w:val="20"/>
          <w:szCs w:val="20"/>
        </w:rPr>
        <w:t>Logement et développement collectif.</w:t>
      </w:r>
    </w:p>
    <w:p w:rsidR="006415DA" w:rsidRPr="006415DA" w:rsidRDefault="006415DA" w:rsidP="006415DA">
      <w:pPr>
        <w:spacing w:after="0"/>
        <w:rPr>
          <w:rFonts w:ascii="Trebuchet MS" w:eastAsia="Calibri" w:hAnsi="Trebuchet MS" w:cs="Times New Roman"/>
          <w:sz w:val="20"/>
          <w:szCs w:val="20"/>
        </w:rPr>
      </w:pPr>
      <w:r w:rsidRPr="006415DA">
        <w:rPr>
          <w:rFonts w:ascii="Trebuchet MS" w:eastAsia="Calibri" w:hAnsi="Trebuchet MS" w:cs="Times New Roman"/>
          <w:color w:val="434343"/>
          <w:sz w:val="20"/>
          <w:szCs w:val="20"/>
        </w:rPr>
        <w:t xml:space="preserve">Le pouvoir adjudicateur n'agit pas pour le compte d'autres pouvoirs adjudicateurs. </w:t>
      </w:r>
    </w:p>
    <w:p w:rsidR="006415DA" w:rsidRP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Objet du marché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Numéro de la consultation : DEMOLRENOCORB DEMOLITION IMMEUBLES DE 121 LOGEMENTS SQUARE RENOIR / RUE LE CORBUSIER + 5 LOCAUX EN RDC A SAINT ETIENNE</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Mots descripteurs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Démolition.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Lieu d'exécution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10 -12 -14 -16 Square Renoir / 77 -79-81-83-85 Rue Le Corbusier. 42000 SAINT ETINNE.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Code NUTS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FRK25.</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L'avis implique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Un marché </w:t>
      </w:r>
      <w:proofErr w:type="gramStart"/>
      <w:r w:rsidRPr="006415DA">
        <w:rPr>
          <w:rFonts w:ascii="Trebuchet MS" w:hAnsi="Trebuchet MS"/>
          <w:color w:val="434343"/>
          <w:sz w:val="20"/>
          <w:szCs w:val="20"/>
        </w:rPr>
        <w:t>public .</w:t>
      </w:r>
      <w:proofErr w:type="gramEnd"/>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Caractéristiques principales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Forme de marché : ordinaire. Attribution d'un marché unique.</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Quantité ou étendue globale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Détail des éléments de mission confiés au maître d'œuvre : MISSION - Direction de l'exécution des travaux MISSION - Etudes de projet MISSION - Assistance pour la passation du contrat de travaux MISSION - Conformité et visa d'exécution au projet MISSION - Assistance aux opérations de réception et de garantie de parfait achèvement MISSION - Etudes de diagnostic</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lastRenderedPageBreak/>
        <w:t>Des variantes seront-elles prises en compte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Non.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 xml:space="preserve">La procédure d'achat du présent avis est </w:t>
      </w:r>
      <w:proofErr w:type="gramStart"/>
      <w:r w:rsidRPr="006415DA">
        <w:rPr>
          <w:rFonts w:ascii="Trebuchet MS" w:hAnsi="Trebuchet MS"/>
          <w:b/>
          <w:i/>
          <w:color w:val="5A5A5A"/>
          <w:sz w:val="20"/>
          <w:szCs w:val="20"/>
        </w:rPr>
        <w:t>couverte</w:t>
      </w:r>
      <w:proofErr w:type="gramEnd"/>
      <w:r w:rsidRPr="006415DA">
        <w:rPr>
          <w:rFonts w:ascii="Trebuchet MS" w:hAnsi="Trebuchet MS"/>
          <w:b/>
          <w:i/>
          <w:color w:val="5A5A5A"/>
          <w:sz w:val="20"/>
          <w:szCs w:val="20"/>
        </w:rPr>
        <w:t xml:space="preserve"> par l'accord sur les marchés publics de l'OMC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Non.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Prestations divisées en lots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Non.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Durée du marché ou délai d'exécution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20 mois.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Cautionnement et garanties exigés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Garantie à première demande couvrant 100,0 % du montant de l'avance.</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Modalités essentielles de financement et de paiement et/ou références aux textes qui les réglementent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Prestations réglées par un prix global forfaitaire Prix fermes. Avance de 5,0 % accordée dans les conditions prévues au contrat. Délai global de paiement des prestations de 30 jours.</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Forme juridique que devra revêtir le groupement d'opérateurs économiques attributaire du marché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Aucune forme de groupement imposée à l'attributaire du marché.</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Langue(s) pouvant être utilisée(s) dans l'offre ou la candidature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Français.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Unité monétaire utilisée :</w:t>
      </w:r>
    </w:p>
    <w:p w:rsidR="00117236" w:rsidRPr="006415DA" w:rsidRDefault="006415DA">
      <w:pPr>
        <w:pBdr>
          <w:left w:val="none" w:sz="0" w:space="6" w:color="auto"/>
        </w:pBdr>
        <w:spacing w:after="0"/>
        <w:rPr>
          <w:rFonts w:ascii="Trebuchet MS" w:hAnsi="Trebuchet MS"/>
          <w:sz w:val="20"/>
          <w:szCs w:val="20"/>
        </w:rPr>
      </w:pPr>
      <w:proofErr w:type="gramStart"/>
      <w:r w:rsidRPr="006415DA">
        <w:rPr>
          <w:rFonts w:ascii="Trebuchet MS" w:hAnsi="Trebuchet MS"/>
          <w:color w:val="434343"/>
          <w:sz w:val="20"/>
          <w:szCs w:val="20"/>
        </w:rPr>
        <w:t>l'euro</w:t>
      </w:r>
      <w:proofErr w:type="gramEnd"/>
      <w:r w:rsidRPr="006415DA">
        <w:rPr>
          <w:rFonts w:ascii="Trebuchet MS" w:hAnsi="Trebuchet MS"/>
          <w:color w:val="434343"/>
          <w:sz w:val="20"/>
          <w:szCs w:val="20"/>
        </w:rPr>
        <w:t>.</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Conditions de participation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Situation juridique - références requises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Références requises mentionnées dans les documents de la consultation.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Capacité économique et financière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Références requises mentionnées dans les documents de la consultation.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Capacité technique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Références requises mentionnées dans les documents de la consultation.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Marché réservé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Non.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La prestation est réservée à une profession particulière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Non.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Les personnes morales sont tenues d'indiquer les noms et qualifications professionnelles des membres du personnel chargé de la prestation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Non.</w:t>
      </w: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w:t>
      </w:r>
    </w:p>
    <w:p w:rsidR="00117236" w:rsidRPr="006415DA" w:rsidRDefault="006415DA">
      <w:pPr>
        <w:spacing w:after="0"/>
        <w:rPr>
          <w:rFonts w:ascii="Trebuchet MS" w:hAnsi="Trebuchet MS"/>
          <w:sz w:val="20"/>
          <w:szCs w:val="20"/>
        </w:rPr>
      </w:pPr>
      <w:r w:rsidRPr="006415DA">
        <w:rPr>
          <w:rFonts w:ascii="Trebuchet MS" w:hAnsi="Trebuchet MS"/>
          <w:color w:val="434343"/>
          <w:sz w:val="20"/>
          <w:szCs w:val="20"/>
        </w:rPr>
        <w:lastRenderedPageBreak/>
        <w:t xml:space="preserve">Recours à une procédure se déroulant en phases successives afin de réduire progressivement le nombre des solutions à discuter ou des offres à négocier :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Non.</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Critères d'attribution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Offre économiquement la plus avantageuse appréciée en fonction des critères énoncés dans le cahier des charges (règlement de la consultation, lettre d'invitation ou document descriptif).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Type de procédure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Procédure adaptée.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Date limite de réception des offres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2</w:t>
      </w:r>
      <w:r w:rsidR="00C919A0">
        <w:rPr>
          <w:rFonts w:ascii="Trebuchet MS" w:hAnsi="Trebuchet MS"/>
          <w:color w:val="434343"/>
          <w:sz w:val="20"/>
          <w:szCs w:val="20"/>
        </w:rPr>
        <w:t>6</w:t>
      </w:r>
      <w:r w:rsidRPr="006415DA">
        <w:rPr>
          <w:rFonts w:ascii="Trebuchet MS" w:hAnsi="Trebuchet MS"/>
          <w:color w:val="434343"/>
          <w:sz w:val="20"/>
          <w:szCs w:val="20"/>
        </w:rPr>
        <w:t>-09-</w:t>
      </w:r>
      <w:proofErr w:type="gramStart"/>
      <w:r w:rsidRPr="006415DA">
        <w:rPr>
          <w:rFonts w:ascii="Trebuchet MS" w:hAnsi="Trebuchet MS"/>
          <w:color w:val="434343"/>
          <w:sz w:val="20"/>
          <w:szCs w:val="20"/>
        </w:rPr>
        <w:t>2023  (</w:t>
      </w:r>
      <w:proofErr w:type="gramEnd"/>
      <w:r w:rsidRPr="006415DA">
        <w:rPr>
          <w:rFonts w:ascii="Trebuchet MS" w:hAnsi="Trebuchet MS"/>
          <w:color w:val="434343"/>
          <w:sz w:val="20"/>
          <w:szCs w:val="20"/>
        </w:rPr>
        <w:t xml:space="preserve">12:00)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Délai de validité des offres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120 jours à compter de la date limite de réception des offres.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Numéro de référence attribué au marché par le pouvoir adjudicateur / l'entité adjudicatrice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DEMOLRENOCORB/BO.</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Renseignements complémentaires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La transmission des documents par voie électronique est effectuée sur le profil d'acheteur. Les modalités de transmission des plis par voie électronique sont définies dans le règlement de la consultation. Numéro de la consultation : DEMOLRENOCORB </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Conditions de remise des offres ou des candidatures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6415DA" w:rsidRDefault="006415DA">
      <w:pPr>
        <w:pBdr>
          <w:left w:val="none" w:sz="0" w:space="19" w:color="auto"/>
        </w:pBdr>
        <w:spacing w:after="0"/>
        <w:rPr>
          <w:rFonts w:ascii="Trebuchet MS" w:hAnsi="Trebuchet MS"/>
          <w:b/>
          <w:i/>
          <w:color w:val="5A5A5A"/>
          <w:sz w:val="20"/>
          <w:szCs w:val="20"/>
        </w:rPr>
      </w:pP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Date d'envoi du présent avis à la publication :</w:t>
      </w:r>
    </w:p>
    <w:p w:rsidR="00117236" w:rsidRPr="006415DA" w:rsidRDefault="00C919A0">
      <w:pPr>
        <w:pBdr>
          <w:left w:val="none" w:sz="0" w:space="6" w:color="auto"/>
        </w:pBdr>
        <w:spacing w:after="0"/>
        <w:rPr>
          <w:rFonts w:ascii="Trebuchet MS" w:hAnsi="Trebuchet MS"/>
          <w:sz w:val="20"/>
          <w:szCs w:val="20"/>
        </w:rPr>
      </w:pPr>
      <w:r>
        <w:rPr>
          <w:rFonts w:ascii="Trebuchet MS" w:hAnsi="Trebuchet MS"/>
          <w:color w:val="434343"/>
          <w:sz w:val="20"/>
          <w:szCs w:val="20"/>
        </w:rPr>
        <w:t>04</w:t>
      </w:r>
      <w:r w:rsidR="006415DA" w:rsidRPr="006415DA">
        <w:rPr>
          <w:rFonts w:ascii="Trebuchet MS" w:hAnsi="Trebuchet MS"/>
          <w:color w:val="434343"/>
          <w:sz w:val="20"/>
          <w:szCs w:val="20"/>
        </w:rPr>
        <w:t>-0</w:t>
      </w:r>
      <w:r>
        <w:rPr>
          <w:rFonts w:ascii="Trebuchet MS" w:hAnsi="Trebuchet MS"/>
          <w:color w:val="434343"/>
          <w:sz w:val="20"/>
          <w:szCs w:val="20"/>
        </w:rPr>
        <w:t>9</w:t>
      </w:r>
      <w:bookmarkStart w:id="1" w:name="_GoBack"/>
      <w:bookmarkEnd w:id="1"/>
      <w:r w:rsidR="006415DA" w:rsidRPr="006415DA">
        <w:rPr>
          <w:rFonts w:ascii="Trebuchet MS" w:hAnsi="Trebuchet MS"/>
          <w:color w:val="434343"/>
          <w:sz w:val="20"/>
          <w:szCs w:val="20"/>
        </w:rPr>
        <w:t>-2023</w:t>
      </w: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Adresse à laquelle les offres/candidatures/projets/demandes de participation doivent être envoyés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Adresse internet : https://www.marches-securises.fr</w:t>
      </w: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Adresse auprès de laquelle des renseignements complémentaires peuvent être obtenus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Adresse internet : https://www.marches-securises.fr</w:t>
      </w: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Adresse auprès de laquelle les documents peuvent être obtenus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Adresse internet : https://www.marches-securises.fr</w:t>
      </w: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Instance chargée des procédures de recours :</w:t>
      </w:r>
    </w:p>
    <w:p w:rsidR="00117236" w:rsidRPr="006415DA" w:rsidRDefault="006415DA">
      <w:pPr>
        <w:pBdr>
          <w:left w:val="none" w:sz="0" w:space="6" w:color="auto"/>
        </w:pBdr>
        <w:spacing w:after="0"/>
        <w:rPr>
          <w:rFonts w:ascii="Trebuchet MS" w:hAnsi="Trebuchet MS"/>
          <w:sz w:val="20"/>
          <w:szCs w:val="20"/>
        </w:rPr>
      </w:pPr>
      <w:r w:rsidRPr="006415DA">
        <w:rPr>
          <w:rFonts w:ascii="Trebuchet MS" w:hAnsi="Trebuchet MS"/>
          <w:color w:val="434343"/>
          <w:sz w:val="20"/>
          <w:szCs w:val="20"/>
        </w:rPr>
        <w:t xml:space="preserve">Tribunal Administratif de Lyon. 184, rue </w:t>
      </w:r>
      <w:proofErr w:type="gramStart"/>
      <w:r w:rsidRPr="006415DA">
        <w:rPr>
          <w:rFonts w:ascii="Trebuchet MS" w:hAnsi="Trebuchet MS"/>
          <w:color w:val="434343"/>
          <w:sz w:val="20"/>
          <w:szCs w:val="20"/>
        </w:rPr>
        <w:t>Duguesclin ,</w:t>
      </w:r>
      <w:proofErr w:type="gramEnd"/>
      <w:r w:rsidRPr="006415DA">
        <w:rPr>
          <w:rFonts w:ascii="Trebuchet MS" w:hAnsi="Trebuchet MS"/>
          <w:color w:val="434343"/>
          <w:sz w:val="20"/>
          <w:szCs w:val="20"/>
        </w:rPr>
        <w:t xml:space="preserve"> 69433 LYON , Cedex 03</w:t>
      </w:r>
    </w:p>
    <w:p w:rsidR="00117236" w:rsidRPr="006415DA" w:rsidRDefault="006415DA">
      <w:pPr>
        <w:pBdr>
          <w:left w:val="none" w:sz="0" w:space="19" w:color="auto"/>
        </w:pBdr>
        <w:spacing w:after="0"/>
        <w:rPr>
          <w:rFonts w:ascii="Trebuchet MS" w:hAnsi="Trebuchet MS"/>
          <w:sz w:val="20"/>
          <w:szCs w:val="20"/>
        </w:rPr>
      </w:pPr>
      <w:r w:rsidRPr="006415DA">
        <w:rPr>
          <w:rFonts w:ascii="Trebuchet MS" w:hAnsi="Trebuchet MS"/>
          <w:b/>
          <w:i/>
          <w:color w:val="5A5A5A"/>
          <w:sz w:val="20"/>
          <w:szCs w:val="20"/>
        </w:rPr>
        <w:t xml:space="preserve">Précisions concernant le(s) délai(s) d'introduction des recours : </w:t>
      </w:r>
    </w:p>
    <w:p w:rsidR="00117236" w:rsidRPr="006415DA" w:rsidRDefault="006415DA">
      <w:pPr>
        <w:pBdr>
          <w:left w:val="none" w:sz="0" w:space="6" w:color="auto"/>
        </w:pBdr>
        <w:spacing w:after="0"/>
        <w:rPr>
          <w:rFonts w:ascii="Trebuchet MS" w:hAnsi="Trebuchet MS"/>
        </w:rPr>
      </w:pPr>
      <w:r w:rsidRPr="006415DA">
        <w:rPr>
          <w:rFonts w:ascii="Trebuchet MS" w:hAnsi="Trebuchet MS"/>
          <w:color w:val="434343"/>
          <w:sz w:val="20"/>
          <w:szCs w:val="20"/>
        </w:rPr>
        <w:t xml:space="preserve">Précisions concernant les délais d'introduction des recours : Référé </w:t>
      </w:r>
      <w:proofErr w:type="spellStart"/>
      <w:r w:rsidRPr="006415DA">
        <w:rPr>
          <w:rFonts w:ascii="Trebuchet MS" w:hAnsi="Trebuchet MS"/>
          <w:color w:val="434343"/>
          <w:sz w:val="20"/>
          <w:szCs w:val="20"/>
        </w:rPr>
        <w:t>pré-contractuel</w:t>
      </w:r>
      <w:proofErr w:type="spellEnd"/>
      <w:r w:rsidRPr="006415DA">
        <w:rPr>
          <w:rFonts w:ascii="Trebuchet MS" w:hAnsi="Trebuchet MS"/>
          <w:color w:val="434343"/>
          <w:sz w:val="20"/>
          <w:szCs w:val="20"/>
        </w:rPr>
        <w:t xml:space="preserve"> prévu aux articles L.551-1 à L.551-12 du Code de justice administrative (CJA), et pouvant être exercé avant la signature du contrat.</w:t>
      </w:r>
      <w:r w:rsidRPr="006415DA">
        <w:rPr>
          <w:rFonts w:ascii="Trebuchet MS" w:hAnsi="Trebuchet MS"/>
          <w:color w:val="434343"/>
          <w:sz w:val="18"/>
        </w:rPr>
        <w:t xml:space="preserve">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p w:rsidR="00117236" w:rsidRPr="006415DA" w:rsidRDefault="00117236">
      <w:pPr>
        <w:rPr>
          <w:rFonts w:ascii="Trebuchet MS" w:hAnsi="Trebuchet MS"/>
        </w:rPr>
      </w:pPr>
    </w:p>
    <w:sectPr w:rsidR="00117236" w:rsidRPr="006415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36"/>
    <w:rsid w:val="00117236"/>
    <w:rsid w:val="006415DA"/>
    <w:rsid w:val="007E3579"/>
    <w:rsid w:val="00C91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886F"/>
  <w15:docId w15:val="{96C7B90C-1CEF-4A79-925F-55B211CD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22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ches-securis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bitat-metropole.fr" TargetMode="External"/><Relationship Id="rId5" Type="http://schemas.openxmlformats.org/officeDocument/2006/relationships/hyperlink" Target="mailto:magali.penel@habitat-metropole.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900</Words>
  <Characters>4951</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 Magali</dc:creator>
  <cp:lastModifiedBy>PENEL Magali</cp:lastModifiedBy>
  <cp:revision>4</cp:revision>
  <dcterms:created xsi:type="dcterms:W3CDTF">2023-08-25T11:46:00Z</dcterms:created>
  <dcterms:modified xsi:type="dcterms:W3CDTF">2023-09-04T14:33:00Z</dcterms:modified>
</cp:coreProperties>
</file>