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40" w:rsidRDefault="00915BB8">
      <w:r>
        <w:rPr>
          <w:noProof/>
        </w:rPr>
        <w:drawing>
          <wp:anchor distT="0" distB="0" distL="114300" distR="114300" simplePos="0" relativeHeight="251658240" behindDoc="0" locked="0" layoutInCell="1" allowOverlap="1">
            <wp:simplePos x="0" y="0"/>
            <wp:positionH relativeFrom="column">
              <wp:posOffset>1574800</wp:posOffset>
            </wp:positionH>
            <wp:positionV relativeFrom="paragraph">
              <wp:posOffset>0</wp:posOffset>
            </wp:positionV>
            <wp:extent cx="2254250" cy="68472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0804" cy="69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5BB8" w:rsidRDefault="00915BB8"/>
    <w:p w:rsidR="00915BB8" w:rsidRDefault="00915BB8"/>
    <w:p w:rsidR="00915BB8" w:rsidRDefault="00915BB8"/>
    <w:p w:rsidR="00FC2840" w:rsidRPr="00915BB8" w:rsidRDefault="00725020">
      <w:pPr>
        <w:spacing w:after="0"/>
        <w:jc w:val="center"/>
        <w:rPr>
          <w:rFonts w:ascii="Trebuchet MS" w:hAnsi="Trebuchet MS"/>
          <w:b/>
          <w:color w:val="434343"/>
          <w:sz w:val="28"/>
          <w:szCs w:val="28"/>
          <w:u w:val="single"/>
        </w:rPr>
      </w:pPr>
      <w:r w:rsidRPr="00915BB8">
        <w:rPr>
          <w:rFonts w:ascii="Trebuchet MS" w:hAnsi="Trebuchet MS"/>
          <w:b/>
          <w:color w:val="434343"/>
          <w:sz w:val="28"/>
          <w:szCs w:val="28"/>
          <w:u w:val="single"/>
        </w:rPr>
        <w:t>Avis d'appel public à la concurrence</w:t>
      </w:r>
      <w:bookmarkStart w:id="0" w:name="I"/>
      <w:bookmarkEnd w:id="0"/>
    </w:p>
    <w:p w:rsidR="00915BB8" w:rsidRDefault="00915BB8">
      <w:pPr>
        <w:spacing w:after="0"/>
        <w:jc w:val="center"/>
      </w:pP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Nom et adresse officiels de l'organisme acheteur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HABITAT &amp; METROPOLE</w:t>
      </w:r>
      <w:r w:rsidRPr="00915BB8">
        <w:rPr>
          <w:rFonts w:ascii="Trebuchet MS" w:hAnsi="Trebuchet MS"/>
        </w:rPr>
        <w:br/>
      </w:r>
      <w:r w:rsidRPr="00915BB8">
        <w:rPr>
          <w:rFonts w:ascii="Trebuchet MS" w:hAnsi="Trebuchet MS"/>
          <w:color w:val="434343"/>
        </w:rPr>
        <w:t xml:space="preserve">Correspondant : MME </w:t>
      </w:r>
      <w:r w:rsidR="00915BB8">
        <w:rPr>
          <w:rFonts w:ascii="Trebuchet MS" w:hAnsi="Trebuchet MS"/>
          <w:color w:val="434343"/>
        </w:rPr>
        <w:t>VILLEMAGNE Valérie</w:t>
      </w:r>
      <w:r w:rsidRPr="00915BB8">
        <w:rPr>
          <w:rFonts w:ascii="Trebuchet MS" w:hAnsi="Trebuchet MS"/>
          <w:color w:val="434343"/>
        </w:rPr>
        <w:t xml:space="preserve">, </w:t>
      </w:r>
      <w:r w:rsidR="00915BB8">
        <w:rPr>
          <w:rFonts w:ascii="Trebuchet MS" w:hAnsi="Trebuchet MS"/>
          <w:color w:val="434343"/>
        </w:rPr>
        <w:t>Assistante Appels d’offres</w:t>
      </w:r>
      <w:r w:rsidRPr="00915BB8">
        <w:rPr>
          <w:rFonts w:ascii="Trebuchet MS" w:hAnsi="Trebuchet MS"/>
          <w:color w:val="434343"/>
        </w:rPr>
        <w:t xml:space="preserve"> d'HABITAT &amp; </w:t>
      </w:r>
      <w:r w:rsidRPr="00915BB8">
        <w:rPr>
          <w:rFonts w:ascii="Trebuchet MS" w:hAnsi="Trebuchet MS"/>
          <w:color w:val="434343"/>
        </w:rPr>
        <w:t xml:space="preserve">MÉTROPOLE, 19, rue Honoré de </w:t>
      </w:r>
      <w:proofErr w:type="gramStart"/>
      <w:r w:rsidRPr="00915BB8">
        <w:rPr>
          <w:rFonts w:ascii="Trebuchet MS" w:hAnsi="Trebuchet MS"/>
          <w:color w:val="434343"/>
        </w:rPr>
        <w:t>Balzac ,</w:t>
      </w:r>
      <w:proofErr w:type="gramEnd"/>
      <w:r w:rsidRPr="00915BB8">
        <w:rPr>
          <w:rFonts w:ascii="Trebuchet MS" w:hAnsi="Trebuchet MS"/>
          <w:color w:val="434343"/>
        </w:rPr>
        <w:t xml:space="preserve"> 42028 SAINT ETIENNE. </w:t>
      </w:r>
      <w:proofErr w:type="gramStart"/>
      <w:r w:rsidRPr="00915BB8">
        <w:rPr>
          <w:rFonts w:ascii="Trebuchet MS" w:hAnsi="Trebuchet MS"/>
          <w:color w:val="434343"/>
        </w:rPr>
        <w:t>Tél:</w:t>
      </w:r>
      <w:proofErr w:type="gramEnd"/>
      <w:r w:rsidRPr="00915BB8">
        <w:rPr>
          <w:rFonts w:ascii="Trebuchet MS" w:hAnsi="Trebuchet MS"/>
          <w:color w:val="434343"/>
        </w:rPr>
        <w:t xml:space="preserve"> </w:t>
      </w:r>
      <w:r w:rsidRPr="00915BB8">
        <w:rPr>
          <w:rFonts w:ascii="Trebuchet MS" w:hAnsi="Trebuchet MS"/>
          <w:color w:val="0000FF"/>
        </w:rPr>
        <w:t>04774285</w:t>
      </w:r>
      <w:r w:rsidR="00915BB8">
        <w:rPr>
          <w:rFonts w:ascii="Trebuchet MS" w:hAnsi="Trebuchet MS"/>
          <w:color w:val="0000FF"/>
        </w:rPr>
        <w:t>16</w:t>
      </w:r>
      <w:r w:rsidRPr="00915BB8">
        <w:rPr>
          <w:rFonts w:ascii="Trebuchet MS" w:hAnsi="Trebuchet MS"/>
          <w:color w:val="434343"/>
        </w:rPr>
        <w:t xml:space="preserve">. </w:t>
      </w:r>
      <w:proofErr w:type="gramStart"/>
      <w:r w:rsidRPr="00915BB8">
        <w:rPr>
          <w:rFonts w:ascii="Trebuchet MS" w:hAnsi="Trebuchet MS"/>
          <w:color w:val="434343"/>
        </w:rPr>
        <w:t>Courriel:</w:t>
      </w:r>
      <w:proofErr w:type="gramEnd"/>
      <w:r w:rsidRPr="00915BB8">
        <w:rPr>
          <w:rFonts w:ascii="Trebuchet MS" w:hAnsi="Trebuchet MS"/>
          <w:color w:val="434343"/>
        </w:rPr>
        <w:t xml:space="preserve"> </w:t>
      </w:r>
      <w:hyperlink r:id="rId5" w:history="1">
        <w:r w:rsidR="00915BB8" w:rsidRPr="00CF5F9D">
          <w:rPr>
            <w:rStyle w:val="Lienhypertexte"/>
            <w:rFonts w:ascii="Trebuchet MS" w:hAnsi="Trebuchet MS"/>
          </w:rPr>
          <w:t>valerie.villemagne@habitat-metropole.fr</w:t>
        </w:r>
      </w:hyperlink>
      <w:r w:rsidRPr="00915BB8">
        <w:rPr>
          <w:rFonts w:ascii="Trebuchet MS" w:hAnsi="Trebuchet MS"/>
          <w:color w:val="434343"/>
        </w:rPr>
        <w:t xml:space="preserve">. Adresse </w:t>
      </w:r>
      <w:proofErr w:type="gramStart"/>
      <w:r w:rsidRPr="00915BB8">
        <w:rPr>
          <w:rFonts w:ascii="Trebuchet MS" w:hAnsi="Trebuchet MS"/>
          <w:color w:val="434343"/>
        </w:rPr>
        <w:t>internet:</w:t>
      </w:r>
      <w:proofErr w:type="gramEnd"/>
      <w:r w:rsidRPr="00915BB8">
        <w:rPr>
          <w:rFonts w:ascii="Trebuchet MS" w:hAnsi="Trebuchet MS"/>
          <w:color w:val="434343"/>
        </w:rPr>
        <w:t xml:space="preserve"> </w:t>
      </w:r>
      <w:hyperlink r:id="rId6">
        <w:r w:rsidRPr="00915BB8">
          <w:rPr>
            <w:rFonts w:ascii="Trebuchet MS" w:hAnsi="Trebuchet MS"/>
            <w:color w:val="0000FF"/>
            <w:u w:val="single"/>
          </w:rPr>
          <w:t>https://ww</w:t>
        </w:r>
        <w:r w:rsidRPr="00915BB8">
          <w:rPr>
            <w:rFonts w:ascii="Trebuchet MS" w:hAnsi="Trebuchet MS"/>
            <w:color w:val="0000FF"/>
            <w:u w:val="single"/>
          </w:rPr>
          <w:t>w.habitat-metropole.fr</w:t>
        </w:r>
      </w:hyperlink>
      <w:r w:rsidRPr="00915BB8">
        <w:rPr>
          <w:rFonts w:ascii="Trebuchet MS" w:hAnsi="Trebuchet MS"/>
        </w:rPr>
        <w:br/>
      </w:r>
      <w:r w:rsidRPr="00915BB8">
        <w:rPr>
          <w:rFonts w:ascii="Trebuchet MS" w:hAnsi="Trebuchet MS"/>
          <w:color w:val="434343"/>
        </w:rPr>
        <w:t xml:space="preserve">Adresse internet du profil d'acheteur: </w:t>
      </w:r>
      <w:hyperlink r:id="rId7">
        <w:r w:rsidRPr="00915BB8">
          <w:rPr>
            <w:rFonts w:ascii="Trebuchet MS" w:hAnsi="Trebuchet MS"/>
            <w:color w:val="0000FF"/>
            <w:u w:val="single"/>
          </w:rPr>
          <w:t>https://www.marches-securises.fr</w:t>
        </w:r>
      </w:hyperlink>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Principale(s) Activité(s) du pouvoir adjudicateur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Logement et développement collectif.</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Le pouvoir adjudicat</w:t>
      </w:r>
      <w:r w:rsidRPr="00915BB8">
        <w:rPr>
          <w:rFonts w:ascii="Trebuchet MS" w:hAnsi="Trebuchet MS"/>
          <w:color w:val="434343"/>
        </w:rPr>
        <w:t xml:space="preserve">eur n'agit pas pour le compte d'autres pouvoirs adjudicateurs.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Objet du marché :</w:t>
      </w:r>
    </w:p>
    <w:p w:rsidR="00FC2840" w:rsidRPr="00915BB8" w:rsidRDefault="00725020">
      <w:pPr>
        <w:pBdr>
          <w:left w:val="none" w:sz="0" w:space="6" w:color="auto"/>
        </w:pBdr>
        <w:spacing w:after="0"/>
        <w:rPr>
          <w:rFonts w:ascii="Trebuchet MS" w:hAnsi="Trebuchet MS"/>
          <w:b/>
        </w:rPr>
      </w:pPr>
      <w:r w:rsidRPr="00915BB8">
        <w:rPr>
          <w:rFonts w:ascii="Trebuchet MS" w:hAnsi="Trebuchet MS"/>
          <w:color w:val="434343"/>
        </w:rPr>
        <w:t xml:space="preserve">Numéro de la consultation : </w:t>
      </w:r>
      <w:r w:rsidRPr="00915BB8">
        <w:rPr>
          <w:rFonts w:ascii="Trebuchet MS" w:hAnsi="Trebuchet MS"/>
          <w:b/>
          <w:color w:val="434343"/>
        </w:rPr>
        <w:t>23INFORMATIQUE Fourniture d'un système de gestion des correctifs sur Serveur et PC Windows</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Mots descripteurs :</w:t>
      </w:r>
    </w:p>
    <w:p w:rsidR="00915BB8" w:rsidRDefault="00725020">
      <w:pPr>
        <w:pBdr>
          <w:left w:val="none" w:sz="0" w:space="6" w:color="auto"/>
        </w:pBdr>
        <w:spacing w:after="0"/>
        <w:rPr>
          <w:rFonts w:ascii="Trebuchet MS" w:hAnsi="Trebuchet MS"/>
          <w:color w:val="434343"/>
        </w:rPr>
      </w:pPr>
      <w:r w:rsidRPr="00915BB8">
        <w:rPr>
          <w:rFonts w:ascii="Trebuchet MS" w:hAnsi="Trebuchet MS"/>
          <w:color w:val="434343"/>
        </w:rPr>
        <w:t xml:space="preserve">Informatique (matériel).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Type de fournitures : Achat.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Lieu d'exécution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19 RUE HONORE DE BALZAC. 42000 SAINT ETIENNE.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Code NUTS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FRK25.</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L'avis implique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Un marché </w:t>
      </w:r>
      <w:proofErr w:type="gramStart"/>
      <w:r w:rsidRPr="00915BB8">
        <w:rPr>
          <w:rFonts w:ascii="Trebuchet MS" w:hAnsi="Trebuchet MS"/>
          <w:color w:val="434343"/>
        </w:rPr>
        <w:t>public .</w:t>
      </w:r>
      <w:proofErr w:type="gramEnd"/>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Caractéristiques principales :</w:t>
      </w:r>
    </w:p>
    <w:p w:rsidR="00FC2840" w:rsidRPr="00915BB8" w:rsidRDefault="00725020">
      <w:pPr>
        <w:pBdr>
          <w:left w:val="none" w:sz="0" w:space="6" w:color="auto"/>
        </w:pBdr>
        <w:spacing w:after="0"/>
        <w:rPr>
          <w:rFonts w:ascii="Trebuchet MS" w:hAnsi="Trebuchet MS"/>
          <w:b/>
        </w:rPr>
      </w:pPr>
      <w:r w:rsidRPr="00915BB8">
        <w:rPr>
          <w:rFonts w:ascii="Trebuchet MS" w:hAnsi="Trebuchet MS"/>
          <w:b/>
          <w:color w:val="434343"/>
        </w:rPr>
        <w:t>Fourniture d'un système de gestion des correctifs sur Serveur et PC Windows Forme de marché : ordinaire. Attribution d'un marché unique.</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Quantité ou étendue globale :</w:t>
      </w:r>
    </w:p>
    <w:p w:rsidR="00915BB8" w:rsidRDefault="00915BB8" w:rsidP="00915BB8">
      <w:pPr>
        <w:pStyle w:val="ParagrapheIndent2"/>
        <w:spacing w:after="240"/>
        <w:jc w:val="both"/>
        <w:rPr>
          <w:color w:val="000000"/>
          <w:sz w:val="22"/>
          <w:szCs w:val="22"/>
          <w:lang w:val="fr-FR"/>
        </w:rPr>
      </w:pPr>
      <w:r w:rsidRPr="00915BB8">
        <w:rPr>
          <w:color w:val="000000"/>
          <w:sz w:val="22"/>
          <w:szCs w:val="22"/>
          <w:lang w:val="fr-FR"/>
        </w:rPr>
        <w:t>Le marché est conclu pour une période initiale de 36 mois.</w:t>
      </w:r>
      <w:r w:rsidRPr="00915BB8">
        <w:rPr>
          <w:color w:val="000000"/>
          <w:sz w:val="22"/>
          <w:szCs w:val="22"/>
          <w:lang w:val="fr-FR"/>
        </w:rPr>
        <w:t xml:space="preserve"> </w:t>
      </w:r>
      <w:r w:rsidRPr="00915BB8">
        <w:rPr>
          <w:color w:val="000000"/>
          <w:sz w:val="22"/>
          <w:szCs w:val="22"/>
          <w:lang w:val="fr-FR"/>
        </w:rPr>
        <w:t>L'exécution des prestations débute à compter de la date de notification du contrat.</w:t>
      </w:r>
      <w:r w:rsidRPr="00915BB8">
        <w:rPr>
          <w:color w:val="000000"/>
          <w:sz w:val="22"/>
          <w:szCs w:val="22"/>
          <w:lang w:val="fr-FR"/>
        </w:rPr>
        <w:t xml:space="preserve"> </w:t>
      </w:r>
      <w:r w:rsidRPr="00915BB8">
        <w:rPr>
          <w:color w:val="000000"/>
          <w:sz w:val="22"/>
          <w:szCs w:val="22"/>
          <w:lang w:val="fr-FR"/>
        </w:rPr>
        <w:t>Contrat de 36 mois avec option de prolongation de 2 x 12 mois supplémentaires à l'issue des 3 premières années</w:t>
      </w:r>
      <w:r>
        <w:rPr>
          <w:color w:val="000000"/>
          <w:sz w:val="22"/>
          <w:szCs w:val="22"/>
          <w:lang w:val="fr-FR"/>
        </w:rPr>
        <w:t>.</w:t>
      </w:r>
    </w:p>
    <w:p w:rsidR="00FC2840" w:rsidRPr="00915BB8" w:rsidRDefault="00725020" w:rsidP="00915BB8">
      <w:pPr>
        <w:pStyle w:val="ParagrapheIndent2"/>
        <w:spacing w:after="240"/>
        <w:jc w:val="both"/>
        <w:rPr>
          <w:sz w:val="22"/>
          <w:szCs w:val="22"/>
        </w:rPr>
      </w:pPr>
      <w:r w:rsidRPr="00915BB8">
        <w:rPr>
          <w:b/>
          <w:i/>
          <w:color w:val="5A5A5A"/>
          <w:sz w:val="22"/>
          <w:szCs w:val="22"/>
        </w:rPr>
        <w:t xml:space="preserve">Des variantes seront-elles prises </w:t>
      </w:r>
      <w:proofErr w:type="spellStart"/>
      <w:r w:rsidRPr="00915BB8">
        <w:rPr>
          <w:b/>
          <w:i/>
          <w:color w:val="5A5A5A"/>
          <w:sz w:val="22"/>
          <w:szCs w:val="22"/>
        </w:rPr>
        <w:t>en</w:t>
      </w:r>
      <w:proofErr w:type="spellEnd"/>
      <w:r w:rsidRPr="00915BB8">
        <w:rPr>
          <w:b/>
          <w:i/>
          <w:color w:val="5A5A5A"/>
          <w:sz w:val="22"/>
          <w:szCs w:val="22"/>
        </w:rPr>
        <w:t xml:space="preserve"> </w:t>
      </w:r>
      <w:proofErr w:type="spellStart"/>
      <w:proofErr w:type="gramStart"/>
      <w:r w:rsidRPr="00915BB8">
        <w:rPr>
          <w:b/>
          <w:i/>
          <w:color w:val="5A5A5A"/>
          <w:sz w:val="22"/>
          <w:szCs w:val="22"/>
        </w:rPr>
        <w:t>compte</w:t>
      </w:r>
      <w:proofErr w:type="spellEnd"/>
      <w:r w:rsidRPr="00915BB8">
        <w:rPr>
          <w:b/>
          <w:i/>
          <w:color w:val="5A5A5A"/>
          <w:sz w:val="22"/>
          <w:szCs w:val="22"/>
        </w:rPr>
        <w:t xml:space="preserve"> :</w:t>
      </w:r>
      <w:proofErr w:type="gramEnd"/>
      <w:r w:rsidR="00915BB8">
        <w:rPr>
          <w:b/>
          <w:i/>
          <w:color w:val="5A5A5A"/>
          <w:sz w:val="22"/>
          <w:szCs w:val="22"/>
        </w:rPr>
        <w:t xml:space="preserve"> </w:t>
      </w:r>
      <w:r w:rsidRPr="00915BB8">
        <w:rPr>
          <w:color w:val="434343"/>
          <w:sz w:val="22"/>
          <w:szCs w:val="22"/>
        </w:rPr>
        <w:t xml:space="preserve">Non. </w:t>
      </w:r>
    </w:p>
    <w:p w:rsidR="00FC2840" w:rsidRPr="00915BB8" w:rsidRDefault="00725020" w:rsidP="00915BB8">
      <w:pPr>
        <w:pBdr>
          <w:left w:val="none" w:sz="0" w:space="19" w:color="auto"/>
        </w:pBdr>
        <w:spacing w:after="0"/>
        <w:rPr>
          <w:rFonts w:ascii="Trebuchet MS" w:hAnsi="Trebuchet MS"/>
        </w:rPr>
      </w:pPr>
      <w:r w:rsidRPr="00915BB8">
        <w:rPr>
          <w:rFonts w:ascii="Trebuchet MS" w:hAnsi="Trebuchet MS"/>
          <w:b/>
          <w:i/>
          <w:color w:val="5A5A5A"/>
        </w:rPr>
        <w:t>La procédure</w:t>
      </w:r>
      <w:r w:rsidRPr="00915BB8">
        <w:rPr>
          <w:rFonts w:ascii="Trebuchet MS" w:hAnsi="Trebuchet MS"/>
          <w:b/>
          <w:i/>
          <w:color w:val="5A5A5A"/>
        </w:rPr>
        <w:t xml:space="preserve"> d'achat du présent avis est </w:t>
      </w:r>
      <w:proofErr w:type="gramStart"/>
      <w:r w:rsidRPr="00915BB8">
        <w:rPr>
          <w:rFonts w:ascii="Trebuchet MS" w:hAnsi="Trebuchet MS"/>
          <w:b/>
          <w:i/>
          <w:color w:val="5A5A5A"/>
        </w:rPr>
        <w:t>couverte</w:t>
      </w:r>
      <w:proofErr w:type="gramEnd"/>
      <w:r w:rsidRPr="00915BB8">
        <w:rPr>
          <w:rFonts w:ascii="Trebuchet MS" w:hAnsi="Trebuchet MS"/>
          <w:b/>
          <w:i/>
          <w:color w:val="5A5A5A"/>
        </w:rPr>
        <w:t xml:space="preserve"> par l'accord sur les marchés publics de l'OMC :</w:t>
      </w:r>
      <w:r w:rsidR="00915BB8">
        <w:rPr>
          <w:rFonts w:ascii="Trebuchet MS" w:hAnsi="Trebuchet MS"/>
          <w:b/>
          <w:i/>
          <w:color w:val="5A5A5A"/>
        </w:rPr>
        <w:t xml:space="preserve"> </w:t>
      </w:r>
      <w:r w:rsidRPr="00915BB8">
        <w:rPr>
          <w:rFonts w:ascii="Trebuchet MS" w:hAnsi="Trebuchet MS"/>
          <w:color w:val="434343"/>
        </w:rPr>
        <w:t>Non.</w:t>
      </w:r>
    </w:p>
    <w:p w:rsidR="00FC2840" w:rsidRPr="00915BB8" w:rsidRDefault="00725020" w:rsidP="00915BB8">
      <w:pPr>
        <w:pBdr>
          <w:left w:val="none" w:sz="0" w:space="19" w:color="auto"/>
        </w:pBdr>
        <w:spacing w:after="0"/>
        <w:rPr>
          <w:rFonts w:ascii="Trebuchet MS" w:hAnsi="Trebuchet MS"/>
        </w:rPr>
      </w:pPr>
      <w:r w:rsidRPr="00915BB8">
        <w:rPr>
          <w:rFonts w:ascii="Trebuchet MS" w:hAnsi="Trebuchet MS"/>
          <w:b/>
          <w:i/>
          <w:color w:val="5A5A5A"/>
        </w:rPr>
        <w:t>Prestations divisées en lots :</w:t>
      </w:r>
      <w:r w:rsidR="00915BB8">
        <w:rPr>
          <w:rFonts w:ascii="Trebuchet MS" w:hAnsi="Trebuchet MS"/>
          <w:b/>
          <w:i/>
          <w:color w:val="5A5A5A"/>
        </w:rPr>
        <w:t xml:space="preserve"> </w:t>
      </w:r>
      <w:r w:rsidRPr="00915BB8">
        <w:rPr>
          <w:rFonts w:ascii="Trebuchet MS" w:hAnsi="Trebuchet MS"/>
          <w:color w:val="434343"/>
        </w:rPr>
        <w:t>Non.</w:t>
      </w:r>
    </w:p>
    <w:p w:rsidR="00FC2840" w:rsidRPr="00915BB8" w:rsidRDefault="00725020" w:rsidP="00DB4BB2">
      <w:pPr>
        <w:pBdr>
          <w:left w:val="none" w:sz="0" w:space="19" w:color="auto"/>
        </w:pBdr>
        <w:spacing w:after="0"/>
        <w:rPr>
          <w:rFonts w:ascii="Trebuchet MS" w:hAnsi="Trebuchet MS"/>
        </w:rPr>
      </w:pPr>
      <w:r w:rsidRPr="00915BB8">
        <w:rPr>
          <w:rFonts w:ascii="Trebuchet MS" w:hAnsi="Trebuchet MS"/>
          <w:b/>
          <w:i/>
          <w:color w:val="5A5A5A"/>
        </w:rPr>
        <w:t>Durée du marché ou délai d'exécution :</w:t>
      </w:r>
      <w:r w:rsidR="00DB4BB2">
        <w:rPr>
          <w:rFonts w:ascii="Trebuchet MS" w:hAnsi="Trebuchet MS"/>
          <w:b/>
          <w:i/>
          <w:color w:val="5A5A5A"/>
        </w:rPr>
        <w:t xml:space="preserve"> </w:t>
      </w:r>
      <w:bookmarkStart w:id="1" w:name="_GoBack"/>
      <w:bookmarkEnd w:id="1"/>
      <w:r w:rsidRPr="00915BB8">
        <w:rPr>
          <w:rFonts w:ascii="Trebuchet MS" w:hAnsi="Trebuchet MS"/>
          <w:color w:val="434343"/>
        </w:rPr>
        <w:t xml:space="preserve">36 mois.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Modalités essentielles de financement et de paiement et/ou références aux textes</w:t>
      </w:r>
      <w:r w:rsidRPr="00915BB8">
        <w:rPr>
          <w:rFonts w:ascii="Trebuchet MS" w:hAnsi="Trebuchet MS"/>
          <w:b/>
          <w:i/>
          <w:color w:val="5A5A5A"/>
        </w:rPr>
        <w:t xml:space="preserve"> qui les réglementent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lastRenderedPageBreak/>
        <w:t>Prestations réglées par des prix forfaitaires</w:t>
      </w:r>
      <w:r w:rsidR="00915BB8">
        <w:rPr>
          <w:rFonts w:ascii="Trebuchet MS" w:hAnsi="Trebuchet MS"/>
          <w:color w:val="434343"/>
        </w:rPr>
        <w:t>.</w:t>
      </w:r>
      <w:r w:rsidRPr="00915BB8">
        <w:rPr>
          <w:rFonts w:ascii="Trebuchet MS" w:hAnsi="Trebuchet MS"/>
          <w:color w:val="434343"/>
        </w:rPr>
        <w:t xml:space="preserve"> Prix révisables annuellement. Aucune avance prévue. Délai global de paiement des prestations de 30 jours.</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Forme juridique que devra revêtir le groupement d'opérateurs é</w:t>
      </w:r>
      <w:r w:rsidRPr="00915BB8">
        <w:rPr>
          <w:rFonts w:ascii="Trebuchet MS" w:hAnsi="Trebuchet MS"/>
          <w:b/>
          <w:i/>
          <w:color w:val="5A5A5A"/>
        </w:rPr>
        <w:t>conomiques attributaire du marché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Aucune forme de groupement imposée à l'attributaire du marché.</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Langue(s) pouvant être utilisée(s) dans l'offre ou la candidature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Français.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Unité monétaire utilisée :</w:t>
      </w:r>
    </w:p>
    <w:p w:rsidR="00FC2840" w:rsidRPr="00915BB8" w:rsidRDefault="00725020">
      <w:pPr>
        <w:pBdr>
          <w:left w:val="none" w:sz="0" w:space="6" w:color="auto"/>
        </w:pBdr>
        <w:spacing w:after="0"/>
        <w:rPr>
          <w:rFonts w:ascii="Trebuchet MS" w:hAnsi="Trebuchet MS"/>
        </w:rPr>
      </w:pPr>
      <w:proofErr w:type="gramStart"/>
      <w:r w:rsidRPr="00915BB8">
        <w:rPr>
          <w:rFonts w:ascii="Trebuchet MS" w:hAnsi="Trebuchet MS"/>
          <w:color w:val="434343"/>
        </w:rPr>
        <w:t>l'euro</w:t>
      </w:r>
      <w:proofErr w:type="gramEnd"/>
      <w:r w:rsidRPr="00915BB8">
        <w:rPr>
          <w:rFonts w:ascii="Trebuchet MS" w:hAnsi="Trebuchet MS"/>
          <w:color w:val="434343"/>
        </w:rPr>
        <w:t>.</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Conditions de participation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Situation jur</w:t>
      </w:r>
      <w:r w:rsidRPr="00915BB8">
        <w:rPr>
          <w:rFonts w:ascii="Trebuchet MS" w:hAnsi="Trebuchet MS"/>
          <w:b/>
          <w:i/>
          <w:color w:val="5A5A5A"/>
        </w:rPr>
        <w:t>idique - références requises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Références requises mentionnées dans les documents de la </w:t>
      </w:r>
      <w:proofErr w:type="gramStart"/>
      <w:r w:rsidRPr="00915BB8">
        <w:rPr>
          <w:rFonts w:ascii="Trebuchet MS" w:hAnsi="Trebuchet MS"/>
          <w:color w:val="434343"/>
        </w:rPr>
        <w:t>consultation..</w:t>
      </w:r>
      <w:proofErr w:type="gramEnd"/>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Capacité économique et financière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Références requises mentionnées dans les documents de la </w:t>
      </w:r>
      <w:proofErr w:type="gramStart"/>
      <w:r w:rsidRPr="00915BB8">
        <w:rPr>
          <w:rFonts w:ascii="Trebuchet MS" w:hAnsi="Trebuchet MS"/>
          <w:color w:val="434343"/>
        </w:rPr>
        <w:t>consultation..</w:t>
      </w:r>
      <w:proofErr w:type="gramEnd"/>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Capacité technique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Références requises </w:t>
      </w:r>
      <w:r w:rsidRPr="00915BB8">
        <w:rPr>
          <w:rFonts w:ascii="Trebuchet MS" w:hAnsi="Trebuchet MS"/>
          <w:color w:val="434343"/>
        </w:rPr>
        <w:t xml:space="preserve">mentionnées dans les documents de la </w:t>
      </w:r>
      <w:proofErr w:type="gramStart"/>
      <w:r w:rsidRPr="00915BB8">
        <w:rPr>
          <w:rFonts w:ascii="Trebuchet MS" w:hAnsi="Trebuchet MS"/>
          <w:color w:val="434343"/>
        </w:rPr>
        <w:t>consultation..</w:t>
      </w:r>
      <w:proofErr w:type="gramEnd"/>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Marché réservé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Non.</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Candidats</w:t>
      </w:r>
      <w:r w:rsidRPr="00915BB8">
        <w:rPr>
          <w:rFonts w:ascii="Trebuchet MS" w:hAnsi="Trebuchet MS"/>
          <w:b/>
          <w:i/>
          <w:color w:val="5A5A5A"/>
        </w:rPr>
        <w:t xml:space="preserve"> :</w:t>
      </w:r>
    </w:p>
    <w:p w:rsidR="00FC2840" w:rsidRPr="00915BB8" w:rsidRDefault="00725020">
      <w:pPr>
        <w:spacing w:after="0"/>
        <w:rPr>
          <w:rFonts w:ascii="Trebuchet MS" w:hAnsi="Trebuchet MS"/>
        </w:rPr>
      </w:pPr>
      <w:r w:rsidRPr="00915BB8">
        <w:rPr>
          <w:rFonts w:ascii="Trebuchet MS" w:hAnsi="Trebuchet MS"/>
          <w:color w:val="434343"/>
        </w:rPr>
        <w:t xml:space="preserve">Recours à une procédure se déroulant en phases successives afin de réduire progressivement le nombre des solutions à discuter ou des offres à négocier :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Non.</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Critères d'attribution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Offre économiquement la plus avantageuse appréciée en fonction des cr</w:t>
      </w:r>
      <w:r w:rsidRPr="00915BB8">
        <w:rPr>
          <w:rFonts w:ascii="Trebuchet MS" w:hAnsi="Trebuchet MS"/>
          <w:color w:val="434343"/>
        </w:rPr>
        <w:t xml:space="preserve">itères énoncés dans le cahier des charges (règlement de la consultation, lettre d'invitation ou document descriptif).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Une enchère électronique ne sera pas effectuée.</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Type de procédure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Procédure adaptée.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Date limite de réception des offres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highlight w:val="yellow"/>
        </w:rPr>
        <w:t>02-10-</w:t>
      </w:r>
      <w:proofErr w:type="gramStart"/>
      <w:r w:rsidRPr="00915BB8">
        <w:rPr>
          <w:rFonts w:ascii="Trebuchet MS" w:hAnsi="Trebuchet MS"/>
          <w:color w:val="434343"/>
          <w:highlight w:val="yellow"/>
        </w:rPr>
        <w:t>2023  (</w:t>
      </w:r>
      <w:proofErr w:type="gramEnd"/>
      <w:r w:rsidRPr="00915BB8">
        <w:rPr>
          <w:rFonts w:ascii="Trebuchet MS" w:hAnsi="Trebuchet MS"/>
          <w:color w:val="434343"/>
          <w:highlight w:val="yellow"/>
        </w:rPr>
        <w:t>12:00)</w:t>
      </w:r>
      <w:r w:rsidRPr="00915BB8">
        <w:rPr>
          <w:rFonts w:ascii="Trebuchet MS" w:hAnsi="Trebuchet MS"/>
          <w:color w:val="434343"/>
        </w:rPr>
        <w:t xml:space="preserve">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Délai de validité des offres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120 jours à compter de la date limite de réception des offres.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Numéro de référence attribué au marché par le pouvoir adjudicateur / l'entité adjudicatrice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23INFORMATIQUE</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Renseignements complémentai</w:t>
      </w:r>
      <w:r w:rsidRPr="00915BB8">
        <w:rPr>
          <w:rFonts w:ascii="Trebuchet MS" w:hAnsi="Trebuchet MS"/>
          <w:b/>
          <w:i/>
          <w:color w:val="5A5A5A"/>
        </w:rPr>
        <w:t>res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La transmission des documents par voie électronique est effectuée sur le profil d'acheteur. Les modalités de transmission des plis par voie électronique sont définies dans le règlement de la consultation. Numéro de la consultation : 23INFORMATIQUE </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Conditions de remise des offres ou des candidatures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La candidature est présentée soit sous la forme des formulaires DC1 et DC2 (disponibles gratuitement sur le site www.economie.gouv.fr.), soit sous la forme d'un Document Unique de Marché Européen (DUME</w:t>
      </w:r>
      <w:r w:rsidRPr="00915BB8">
        <w:rPr>
          <w:rFonts w:ascii="Trebuchet MS" w:hAnsi="Trebuchet MS"/>
          <w:color w:val="434343"/>
        </w:rPr>
        <w:t>). La transmission des plis par voie électronique est imposée pour cette consultation. Par conséquent, la transmission par voie papier n'est pas autorisée.</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Date d'envoi du présent avis à la publication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highlight w:val="yellow"/>
        </w:rPr>
        <w:lastRenderedPageBreak/>
        <w:t>11-09-2023</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 xml:space="preserve">Adresse à laquelle les </w:t>
      </w:r>
      <w:r w:rsidRPr="00915BB8">
        <w:rPr>
          <w:rFonts w:ascii="Trebuchet MS" w:hAnsi="Trebuchet MS"/>
          <w:b/>
          <w:i/>
          <w:color w:val="5A5A5A"/>
        </w:rPr>
        <w:t>offres/candidatures/projets/demandes de participation doivent être envoyés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Adresse internet : https://www.marches-securises.fr</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Adresse auprès de laquelle des renseignements complémentaires peuvent être obtenus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Adresse internet : https://www.marches-sec</w:t>
      </w:r>
      <w:r w:rsidRPr="00915BB8">
        <w:rPr>
          <w:rFonts w:ascii="Trebuchet MS" w:hAnsi="Trebuchet MS"/>
          <w:color w:val="434343"/>
        </w:rPr>
        <w:t>urises.fr</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Adresse auprès de laquelle les documents peuvent être obtenus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Adresse internet : https://www.marches-securises.fr</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Instance chargée des procédures de recours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Tribunal Administratif de Lyon. 184, rue </w:t>
      </w:r>
      <w:proofErr w:type="gramStart"/>
      <w:r w:rsidRPr="00915BB8">
        <w:rPr>
          <w:rFonts w:ascii="Trebuchet MS" w:hAnsi="Trebuchet MS"/>
          <w:color w:val="434343"/>
        </w:rPr>
        <w:t>Duguesclin ,</w:t>
      </w:r>
      <w:proofErr w:type="gramEnd"/>
      <w:r w:rsidRPr="00915BB8">
        <w:rPr>
          <w:rFonts w:ascii="Trebuchet MS" w:hAnsi="Trebuchet MS"/>
          <w:color w:val="434343"/>
        </w:rPr>
        <w:t xml:space="preserve"> 69433 LYON , Cedex 03</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Organe ch</w:t>
      </w:r>
      <w:r w:rsidRPr="00915BB8">
        <w:rPr>
          <w:rFonts w:ascii="Trebuchet MS" w:hAnsi="Trebuchet MS"/>
          <w:b/>
          <w:i/>
          <w:color w:val="5A5A5A"/>
        </w:rPr>
        <w:t>argé des procédures de médiation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Tribunal Administratif de Lyon. 184, rue </w:t>
      </w:r>
      <w:proofErr w:type="gramStart"/>
      <w:r w:rsidRPr="00915BB8">
        <w:rPr>
          <w:rFonts w:ascii="Trebuchet MS" w:hAnsi="Trebuchet MS"/>
          <w:color w:val="434343"/>
        </w:rPr>
        <w:t>Duguesclin ,</w:t>
      </w:r>
      <w:proofErr w:type="gramEnd"/>
      <w:r w:rsidRPr="00915BB8">
        <w:rPr>
          <w:rFonts w:ascii="Trebuchet MS" w:hAnsi="Trebuchet MS"/>
          <w:color w:val="434343"/>
        </w:rPr>
        <w:t xml:space="preserve"> 69433 LYON , Cedex 03</w:t>
      </w:r>
    </w:p>
    <w:p w:rsidR="00FC2840" w:rsidRPr="00915BB8" w:rsidRDefault="00725020">
      <w:pPr>
        <w:pBdr>
          <w:left w:val="none" w:sz="0" w:space="19" w:color="auto"/>
        </w:pBdr>
        <w:spacing w:after="0"/>
        <w:rPr>
          <w:rFonts w:ascii="Trebuchet MS" w:hAnsi="Trebuchet MS"/>
        </w:rPr>
      </w:pPr>
      <w:r w:rsidRPr="00915BB8">
        <w:rPr>
          <w:rFonts w:ascii="Trebuchet MS" w:hAnsi="Trebuchet MS"/>
          <w:b/>
          <w:i/>
          <w:color w:val="5A5A5A"/>
        </w:rPr>
        <w:t xml:space="preserve">Précisions concernant le(s) délai(s) d'introduction des recours : </w:t>
      </w:r>
    </w:p>
    <w:p w:rsidR="00FC2840" w:rsidRPr="00915BB8" w:rsidRDefault="00725020">
      <w:pPr>
        <w:pBdr>
          <w:left w:val="none" w:sz="0" w:space="6" w:color="auto"/>
        </w:pBdr>
        <w:spacing w:after="0"/>
        <w:rPr>
          <w:rFonts w:ascii="Trebuchet MS" w:hAnsi="Trebuchet MS"/>
        </w:rPr>
      </w:pPr>
      <w:r w:rsidRPr="00915BB8">
        <w:rPr>
          <w:rFonts w:ascii="Trebuchet MS" w:hAnsi="Trebuchet MS"/>
          <w:color w:val="434343"/>
        </w:rPr>
        <w:t xml:space="preserve">Précisions concernant les délais d'introduction des recours : Référé </w:t>
      </w:r>
      <w:proofErr w:type="spellStart"/>
      <w:r w:rsidRPr="00915BB8">
        <w:rPr>
          <w:rFonts w:ascii="Trebuchet MS" w:hAnsi="Trebuchet MS"/>
          <w:color w:val="434343"/>
        </w:rPr>
        <w:t>pré-contr</w:t>
      </w:r>
      <w:r w:rsidRPr="00915BB8">
        <w:rPr>
          <w:rFonts w:ascii="Trebuchet MS" w:hAnsi="Trebuchet MS"/>
          <w:color w:val="434343"/>
        </w:rPr>
        <w:t>actuel</w:t>
      </w:r>
      <w:proofErr w:type="spellEnd"/>
      <w:r w:rsidRPr="00915BB8">
        <w:rPr>
          <w:rFonts w:ascii="Trebuchet MS" w:hAnsi="Trebuchet MS"/>
          <w:color w:val="434343"/>
        </w:rPr>
        <w:t xml:space="preserve"> prévu aux articles L.551-1 à L.551-12 du Code de justice administrative (CJA), et pouvant être exercé avant la signature du contrat. Référé contractuel prévu aux articles L.551-13 à L.551-23 du CJA, et pouvant être exercé dans les délais prévus à l'</w:t>
      </w:r>
      <w:r w:rsidRPr="00915BB8">
        <w:rPr>
          <w:rFonts w:ascii="Trebuchet MS" w:hAnsi="Trebuchet MS"/>
          <w:color w:val="434343"/>
        </w:rPr>
        <w:t>article R. 551-7 du CJA. Recours de pleine juridiction ouvert aux tiers justifiant d'un intérêt lésé, et pouvant être exercé dans les deux mois suivant la date à laquelle la conclusion du contrat est rendue publique.</w:t>
      </w:r>
    </w:p>
    <w:p w:rsidR="00FC2840" w:rsidRDefault="00FC2840"/>
    <w:sectPr w:rsidR="00FC28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C2840"/>
    <w:rsid w:val="00915BB8"/>
    <w:rsid w:val="00DB4BB2"/>
    <w:rsid w:val="00FC2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353D76"/>
  <w15:docId w15:val="{A442C4F1-4F4D-4986-B03C-5BD7020E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Mentionnonrsolue">
    <w:name w:val="Unresolved Mention"/>
    <w:basedOn w:val="Policepardfaut"/>
    <w:uiPriority w:val="99"/>
    <w:semiHidden/>
    <w:unhideWhenUsed/>
    <w:rsid w:val="00915BB8"/>
    <w:rPr>
      <w:color w:val="605E5C"/>
      <w:shd w:val="clear" w:color="auto" w:fill="E1DFDD"/>
    </w:rPr>
  </w:style>
  <w:style w:type="paragraph" w:customStyle="1" w:styleId="ParagrapheIndent2">
    <w:name w:val="ParagrapheIndent2"/>
    <w:basedOn w:val="Normal"/>
    <w:next w:val="Normal"/>
    <w:qFormat/>
    <w:rsid w:val="00915BB8"/>
    <w:pPr>
      <w:spacing w:after="0" w:line="240" w:lineRule="auto"/>
    </w:pPr>
    <w:rPr>
      <w:rFonts w:ascii="Trebuchet MS" w:eastAsia="Trebuchet MS" w:hAnsi="Trebuchet MS" w:cs="Trebuchet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ches-securis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bitat-metropole.fr" TargetMode="External"/><Relationship Id="rId5" Type="http://schemas.openxmlformats.org/officeDocument/2006/relationships/hyperlink" Target="mailto:valerie.villemagne@habitat-metropole.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840</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VILLEMAGNE Valérie</cp:lastModifiedBy>
  <cp:revision>3</cp:revision>
  <dcterms:created xsi:type="dcterms:W3CDTF">2023-09-11T15:11:00Z</dcterms:created>
  <dcterms:modified xsi:type="dcterms:W3CDTF">2023-09-11T15:21:00Z</dcterms:modified>
</cp:coreProperties>
</file>