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DCE" w:rsidRDefault="00840DCE">
      <w:pPr>
        <w:pBdr>
          <w:left w:val="none" w:sz="0" w:space="19" w:color="auto"/>
        </w:pBdr>
        <w:spacing w:after="0"/>
        <w:rPr>
          <w:rFonts w:ascii="Arial" w:hAnsi="Arial"/>
          <w:b/>
          <w:i/>
          <w:color w:val="5A5A5A"/>
          <w:sz w:val="18"/>
        </w:rPr>
      </w:pPr>
      <w:r>
        <w:rPr>
          <w:rFonts w:ascii="Arial" w:hAnsi="Arial"/>
          <w:b/>
          <w:i/>
          <w:noProof/>
          <w:color w:val="5A5A5A"/>
          <w:sz w:val="18"/>
        </w:rPr>
        <w:drawing>
          <wp:inline distT="0" distB="0" distL="0" distR="0" wp14:anchorId="505E6A8F">
            <wp:extent cx="4009390" cy="12477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9390" cy="1247775"/>
                    </a:xfrm>
                    <a:prstGeom prst="rect">
                      <a:avLst/>
                    </a:prstGeom>
                    <a:noFill/>
                  </pic:spPr>
                </pic:pic>
              </a:graphicData>
            </a:graphic>
          </wp:inline>
        </w:drawing>
      </w:r>
    </w:p>
    <w:p w:rsidR="00840DCE" w:rsidRDefault="00840DCE">
      <w:pPr>
        <w:pBdr>
          <w:left w:val="none" w:sz="0" w:space="19" w:color="auto"/>
        </w:pBdr>
        <w:spacing w:after="0"/>
        <w:rPr>
          <w:rFonts w:ascii="Arial" w:hAnsi="Arial"/>
          <w:b/>
          <w:i/>
          <w:color w:val="5A5A5A"/>
          <w:sz w:val="18"/>
        </w:rPr>
      </w:pPr>
    </w:p>
    <w:p w:rsidR="00840DCE" w:rsidRDefault="00840DCE">
      <w:pPr>
        <w:pBdr>
          <w:left w:val="none" w:sz="0" w:space="19" w:color="auto"/>
        </w:pBdr>
        <w:spacing w:after="0"/>
        <w:rPr>
          <w:rFonts w:ascii="Arial" w:hAnsi="Arial"/>
          <w:b/>
          <w:i/>
          <w:color w:val="5A5A5A"/>
          <w:sz w:val="18"/>
        </w:rPr>
      </w:pPr>
    </w:p>
    <w:p w:rsidR="009A048B" w:rsidRDefault="00840DCE">
      <w:pPr>
        <w:pBdr>
          <w:left w:val="none" w:sz="0" w:space="19" w:color="auto"/>
        </w:pBdr>
        <w:spacing w:after="0"/>
      </w:pPr>
      <w:r>
        <w:rPr>
          <w:rFonts w:ascii="Arial" w:hAnsi="Arial"/>
          <w:b/>
          <w:i/>
          <w:color w:val="5A5A5A"/>
          <w:sz w:val="18"/>
        </w:rPr>
        <w:t>Nom et adresse officiels de l'organisme acheteur :</w:t>
      </w:r>
    </w:p>
    <w:p w:rsidR="009A048B" w:rsidRDefault="00840DCE">
      <w:pPr>
        <w:pBdr>
          <w:left w:val="none" w:sz="0" w:space="6" w:color="auto"/>
        </w:pBdr>
        <w:spacing w:after="0"/>
      </w:pPr>
      <w:r>
        <w:rPr>
          <w:rFonts w:ascii="Arial" w:hAnsi="Arial"/>
          <w:color w:val="434343"/>
          <w:sz w:val="18"/>
        </w:rPr>
        <w:t>HABITAT &amp; METROPOLE</w:t>
      </w:r>
      <w:r>
        <w:br/>
      </w:r>
      <w:r>
        <w:rPr>
          <w:rFonts w:ascii="Arial" w:hAnsi="Arial"/>
          <w:color w:val="434343"/>
          <w:sz w:val="18"/>
        </w:rPr>
        <w:t xml:space="preserve">Correspondant : MME ANÉ </w:t>
      </w:r>
      <w:proofErr w:type="gramStart"/>
      <w:r>
        <w:rPr>
          <w:rFonts w:ascii="Arial" w:hAnsi="Arial"/>
          <w:color w:val="434343"/>
          <w:sz w:val="18"/>
        </w:rPr>
        <w:t>Géraldine ,</w:t>
      </w:r>
      <w:proofErr w:type="gramEnd"/>
      <w:r>
        <w:rPr>
          <w:rFonts w:ascii="Arial" w:hAnsi="Arial"/>
          <w:color w:val="434343"/>
          <w:sz w:val="18"/>
        </w:rPr>
        <w:t xml:space="preserve"> Directeur du pôle Finances et Juridique d'HABITAT &amp; MÉT</w:t>
      </w:r>
      <w:r>
        <w:rPr>
          <w:rFonts w:ascii="Arial" w:hAnsi="Arial"/>
          <w:color w:val="434343"/>
          <w:sz w:val="18"/>
        </w:rPr>
        <w:t xml:space="preserve">ROPOLE, 19, rue Honoré de Balzac , 42028 SAINT ETIENNE. </w:t>
      </w:r>
      <w:proofErr w:type="gramStart"/>
      <w:r>
        <w:rPr>
          <w:rFonts w:ascii="Arial" w:hAnsi="Arial"/>
          <w:color w:val="434343"/>
          <w:sz w:val="18"/>
        </w:rPr>
        <w:t>Tél:</w:t>
      </w:r>
      <w:proofErr w:type="gramEnd"/>
      <w:r>
        <w:rPr>
          <w:rFonts w:ascii="Arial" w:hAnsi="Arial"/>
          <w:color w:val="434343"/>
          <w:sz w:val="18"/>
        </w:rPr>
        <w:t xml:space="preserve"> </w:t>
      </w:r>
      <w:r>
        <w:rPr>
          <w:rFonts w:ascii="Arial" w:hAnsi="Arial"/>
          <w:color w:val="0000FF"/>
          <w:sz w:val="18"/>
        </w:rPr>
        <w:t>0477428572</w:t>
      </w:r>
      <w:r>
        <w:rPr>
          <w:rFonts w:ascii="Arial" w:hAnsi="Arial"/>
          <w:color w:val="434343"/>
          <w:sz w:val="18"/>
        </w:rPr>
        <w:t xml:space="preserve">. </w:t>
      </w:r>
      <w:proofErr w:type="gramStart"/>
      <w:r>
        <w:rPr>
          <w:rFonts w:ascii="Arial" w:hAnsi="Arial"/>
          <w:color w:val="434343"/>
          <w:sz w:val="18"/>
        </w:rPr>
        <w:t>Courriel:</w:t>
      </w:r>
      <w:proofErr w:type="gramEnd"/>
      <w:r>
        <w:rPr>
          <w:rFonts w:ascii="Arial" w:hAnsi="Arial"/>
          <w:color w:val="434343"/>
          <w:sz w:val="18"/>
        </w:rPr>
        <w:t xml:space="preserve"> </w:t>
      </w:r>
      <w:hyperlink r:id="rId5">
        <w:r>
          <w:rPr>
            <w:rFonts w:ascii="Arial" w:hAnsi="Arial"/>
            <w:color w:val="0000FF"/>
            <w:sz w:val="18"/>
            <w:u w:val="single"/>
          </w:rPr>
          <w:t>geraldine.ane@habitat-metropole.fr</w:t>
        </w:r>
      </w:hyperlink>
      <w:r>
        <w:rPr>
          <w:rFonts w:ascii="Arial" w:hAnsi="Arial"/>
          <w:color w:val="434343"/>
          <w:sz w:val="18"/>
        </w:rPr>
        <w:t xml:space="preserve">. Adresse </w:t>
      </w:r>
      <w:proofErr w:type="gramStart"/>
      <w:r>
        <w:rPr>
          <w:rFonts w:ascii="Arial" w:hAnsi="Arial"/>
          <w:color w:val="434343"/>
          <w:sz w:val="18"/>
        </w:rPr>
        <w:t>internet:</w:t>
      </w:r>
      <w:proofErr w:type="gramEnd"/>
      <w:r>
        <w:rPr>
          <w:rFonts w:ascii="Arial" w:hAnsi="Arial"/>
          <w:color w:val="434343"/>
          <w:sz w:val="18"/>
        </w:rPr>
        <w:t xml:space="preserve"> </w:t>
      </w:r>
      <w:hyperlink r:id="rId6">
        <w:r>
          <w:rPr>
            <w:rFonts w:ascii="Arial" w:hAnsi="Arial"/>
            <w:color w:val="0000FF"/>
            <w:sz w:val="18"/>
            <w:u w:val="single"/>
          </w:rPr>
          <w:t>https://www.h</w:t>
        </w:r>
        <w:r>
          <w:rPr>
            <w:rFonts w:ascii="Arial" w:hAnsi="Arial"/>
            <w:color w:val="0000FF"/>
            <w:sz w:val="18"/>
            <w:u w:val="single"/>
          </w:rPr>
          <w:t>abitat-metropole.fr</w:t>
        </w:r>
      </w:hyperlink>
      <w:r>
        <w:br/>
      </w:r>
      <w:r>
        <w:rPr>
          <w:rFonts w:ascii="Arial" w:hAnsi="Arial"/>
          <w:color w:val="434343"/>
          <w:sz w:val="18"/>
        </w:rPr>
        <w:t xml:space="preserve">Adresse internet du profil d'acheteur: </w:t>
      </w:r>
      <w:hyperlink r:id="rId7">
        <w:r>
          <w:rPr>
            <w:rFonts w:ascii="Arial" w:hAnsi="Arial"/>
            <w:color w:val="0000FF"/>
            <w:sz w:val="18"/>
            <w:u w:val="single"/>
          </w:rPr>
          <w:t>https://www.marches-securises.fr</w:t>
        </w:r>
      </w:hyperlink>
    </w:p>
    <w:p w:rsidR="009A048B" w:rsidRDefault="00840DCE">
      <w:pPr>
        <w:pBdr>
          <w:left w:val="none" w:sz="0" w:space="19" w:color="auto"/>
        </w:pBdr>
        <w:spacing w:after="0"/>
      </w:pPr>
      <w:r>
        <w:rPr>
          <w:rFonts w:ascii="Arial" w:hAnsi="Arial"/>
          <w:b/>
          <w:i/>
          <w:color w:val="5A5A5A"/>
          <w:sz w:val="18"/>
        </w:rPr>
        <w:t>Principale(s) Activité(s) du pouvoir adjudicateur :</w:t>
      </w:r>
    </w:p>
    <w:p w:rsidR="009A048B" w:rsidRDefault="00840DCE">
      <w:pPr>
        <w:pBdr>
          <w:left w:val="none" w:sz="0" w:space="6" w:color="auto"/>
        </w:pBdr>
        <w:spacing w:after="0"/>
      </w:pPr>
      <w:r>
        <w:rPr>
          <w:rFonts w:ascii="Arial" w:hAnsi="Arial"/>
          <w:color w:val="434343"/>
          <w:sz w:val="18"/>
        </w:rPr>
        <w:t>Logement et développement collectif.</w:t>
      </w:r>
    </w:p>
    <w:p w:rsidR="009A048B" w:rsidRDefault="00840DCE">
      <w:pPr>
        <w:pBdr>
          <w:left w:val="none" w:sz="0" w:space="6" w:color="auto"/>
        </w:pBdr>
        <w:spacing w:after="0"/>
      </w:pPr>
      <w:r>
        <w:rPr>
          <w:rFonts w:ascii="Arial" w:hAnsi="Arial"/>
          <w:color w:val="434343"/>
          <w:sz w:val="18"/>
        </w:rPr>
        <w:t>Le pouvoir adjudicateur</w:t>
      </w:r>
      <w:r>
        <w:rPr>
          <w:rFonts w:ascii="Arial" w:hAnsi="Arial"/>
          <w:color w:val="434343"/>
          <w:sz w:val="18"/>
        </w:rPr>
        <w:t xml:space="preserve"> n'agit pas pour le compte d'autres pouvoirs adjudicateurs. </w:t>
      </w:r>
    </w:p>
    <w:p w:rsidR="009A048B" w:rsidRDefault="00840DCE">
      <w:pPr>
        <w:pBdr>
          <w:left w:val="none" w:sz="0" w:space="19" w:color="auto"/>
        </w:pBdr>
        <w:spacing w:after="0"/>
      </w:pPr>
      <w:r>
        <w:rPr>
          <w:rFonts w:ascii="Arial" w:hAnsi="Arial"/>
          <w:b/>
          <w:i/>
          <w:color w:val="5A5A5A"/>
          <w:sz w:val="18"/>
        </w:rPr>
        <w:t>Objet du marché :</w:t>
      </w:r>
    </w:p>
    <w:p w:rsidR="009A048B" w:rsidRDefault="00840DCE">
      <w:pPr>
        <w:pBdr>
          <w:left w:val="none" w:sz="0" w:space="6" w:color="auto"/>
        </w:pBdr>
        <w:spacing w:after="0"/>
      </w:pPr>
      <w:r>
        <w:rPr>
          <w:rFonts w:ascii="Arial" w:hAnsi="Arial"/>
          <w:color w:val="434343"/>
          <w:sz w:val="18"/>
        </w:rPr>
        <w:t xml:space="preserve">Numéro de la consultation : 23MOEDESJOYAUX Mission de MOE pour la construction d'un immeuble de 12 logements et 4 pavillons, 41 rue </w:t>
      </w:r>
      <w:proofErr w:type="spellStart"/>
      <w:r>
        <w:rPr>
          <w:rFonts w:ascii="Arial" w:hAnsi="Arial"/>
          <w:color w:val="434343"/>
          <w:sz w:val="18"/>
        </w:rPr>
        <w:t>Desjoyaux</w:t>
      </w:r>
      <w:proofErr w:type="spellEnd"/>
      <w:r>
        <w:rPr>
          <w:rFonts w:ascii="Arial" w:hAnsi="Arial"/>
          <w:color w:val="434343"/>
          <w:sz w:val="18"/>
        </w:rPr>
        <w:t xml:space="preserve"> à Saint Etienne</w:t>
      </w:r>
    </w:p>
    <w:p w:rsidR="009A048B" w:rsidRDefault="00840DCE">
      <w:pPr>
        <w:pBdr>
          <w:left w:val="none" w:sz="0" w:space="19" w:color="auto"/>
        </w:pBdr>
        <w:spacing w:after="0"/>
      </w:pPr>
      <w:r>
        <w:rPr>
          <w:rFonts w:ascii="Arial" w:hAnsi="Arial"/>
          <w:b/>
          <w:i/>
          <w:color w:val="5A5A5A"/>
          <w:sz w:val="18"/>
        </w:rPr>
        <w:t>Mots descripteurs :</w:t>
      </w:r>
    </w:p>
    <w:p w:rsidR="009A048B" w:rsidRDefault="00840DCE">
      <w:pPr>
        <w:pBdr>
          <w:left w:val="none" w:sz="0" w:space="6" w:color="auto"/>
        </w:pBdr>
        <w:spacing w:after="0"/>
      </w:pPr>
      <w:r>
        <w:rPr>
          <w:rFonts w:ascii="Arial" w:hAnsi="Arial"/>
          <w:color w:val="434343"/>
          <w:sz w:val="18"/>
        </w:rPr>
        <w:t xml:space="preserve">Assistance à maîtrise d'ouvrage. </w:t>
      </w:r>
    </w:p>
    <w:p w:rsidR="009A048B" w:rsidRDefault="00840DCE">
      <w:pPr>
        <w:pBdr>
          <w:left w:val="none" w:sz="0" w:space="19" w:color="auto"/>
        </w:pBdr>
        <w:spacing w:after="0"/>
      </w:pPr>
      <w:r>
        <w:rPr>
          <w:rFonts w:ascii="Arial" w:hAnsi="Arial"/>
          <w:b/>
          <w:i/>
          <w:color w:val="5A5A5A"/>
          <w:sz w:val="18"/>
        </w:rPr>
        <w:t>Lieu d'exécution :</w:t>
      </w:r>
    </w:p>
    <w:p w:rsidR="009A048B" w:rsidRDefault="00840DCE">
      <w:pPr>
        <w:pBdr>
          <w:left w:val="none" w:sz="0" w:space="6" w:color="auto"/>
        </w:pBdr>
        <w:spacing w:after="0"/>
      </w:pPr>
      <w:r>
        <w:rPr>
          <w:rFonts w:ascii="Arial" w:hAnsi="Arial"/>
          <w:color w:val="434343"/>
          <w:sz w:val="18"/>
        </w:rPr>
        <w:t xml:space="preserve">41 rue </w:t>
      </w:r>
      <w:proofErr w:type="spellStart"/>
      <w:r>
        <w:rPr>
          <w:rFonts w:ascii="Arial" w:hAnsi="Arial"/>
          <w:color w:val="434343"/>
          <w:sz w:val="18"/>
        </w:rPr>
        <w:t>Desjoyaux</w:t>
      </w:r>
      <w:proofErr w:type="spellEnd"/>
      <w:r>
        <w:rPr>
          <w:rFonts w:ascii="Arial" w:hAnsi="Arial"/>
          <w:color w:val="434343"/>
          <w:sz w:val="18"/>
        </w:rPr>
        <w:t xml:space="preserve">. 42000 SAINT ETIENNE. </w:t>
      </w:r>
    </w:p>
    <w:p w:rsidR="009A048B" w:rsidRDefault="00840DCE">
      <w:pPr>
        <w:pBdr>
          <w:left w:val="none" w:sz="0" w:space="19" w:color="auto"/>
        </w:pBdr>
        <w:spacing w:after="0"/>
      </w:pPr>
      <w:r>
        <w:rPr>
          <w:rFonts w:ascii="Arial" w:hAnsi="Arial"/>
          <w:b/>
          <w:i/>
          <w:color w:val="5A5A5A"/>
          <w:sz w:val="18"/>
        </w:rPr>
        <w:t>Code NUTS :</w:t>
      </w:r>
    </w:p>
    <w:p w:rsidR="009A048B" w:rsidRDefault="00840DCE">
      <w:pPr>
        <w:pBdr>
          <w:left w:val="none" w:sz="0" w:space="6" w:color="auto"/>
        </w:pBdr>
        <w:spacing w:after="0"/>
      </w:pPr>
      <w:r>
        <w:rPr>
          <w:rFonts w:ascii="Arial" w:hAnsi="Arial"/>
          <w:color w:val="434343"/>
          <w:sz w:val="18"/>
        </w:rPr>
        <w:t>FRK25.</w:t>
      </w:r>
    </w:p>
    <w:p w:rsidR="009A048B" w:rsidRDefault="00840DCE">
      <w:pPr>
        <w:pBdr>
          <w:left w:val="none" w:sz="0" w:space="19" w:color="auto"/>
        </w:pBdr>
        <w:spacing w:after="0"/>
      </w:pPr>
      <w:r>
        <w:rPr>
          <w:rFonts w:ascii="Arial" w:hAnsi="Arial"/>
          <w:b/>
          <w:i/>
          <w:color w:val="5A5A5A"/>
          <w:sz w:val="18"/>
        </w:rPr>
        <w:t>L'avis implique :</w:t>
      </w:r>
    </w:p>
    <w:p w:rsidR="009A048B" w:rsidRDefault="00840DCE">
      <w:pPr>
        <w:pBdr>
          <w:left w:val="none" w:sz="0" w:space="6" w:color="auto"/>
        </w:pBdr>
        <w:spacing w:after="0"/>
      </w:pPr>
      <w:r>
        <w:rPr>
          <w:rFonts w:ascii="Arial" w:hAnsi="Arial"/>
          <w:color w:val="434343"/>
          <w:sz w:val="18"/>
        </w:rPr>
        <w:t xml:space="preserve">Un marché </w:t>
      </w:r>
      <w:proofErr w:type="gramStart"/>
      <w:r>
        <w:rPr>
          <w:rFonts w:ascii="Arial" w:hAnsi="Arial"/>
          <w:color w:val="434343"/>
          <w:sz w:val="18"/>
        </w:rPr>
        <w:t>public .</w:t>
      </w:r>
      <w:proofErr w:type="gramEnd"/>
    </w:p>
    <w:p w:rsidR="009A048B" w:rsidRDefault="00840DCE">
      <w:pPr>
        <w:pBdr>
          <w:left w:val="none" w:sz="0" w:space="19" w:color="auto"/>
        </w:pBdr>
        <w:spacing w:after="0"/>
      </w:pPr>
      <w:r>
        <w:rPr>
          <w:rFonts w:ascii="Arial" w:hAnsi="Arial"/>
          <w:b/>
          <w:i/>
          <w:color w:val="5A5A5A"/>
          <w:sz w:val="18"/>
        </w:rPr>
        <w:t>Caractéristiques principales :</w:t>
      </w:r>
    </w:p>
    <w:p w:rsidR="009A048B" w:rsidRDefault="00840DCE">
      <w:pPr>
        <w:pBdr>
          <w:left w:val="none" w:sz="0" w:space="6" w:color="auto"/>
        </w:pBdr>
        <w:spacing w:after="0"/>
      </w:pPr>
      <w:r>
        <w:rPr>
          <w:rFonts w:ascii="Arial" w:hAnsi="Arial"/>
          <w:color w:val="434343"/>
          <w:sz w:val="18"/>
        </w:rPr>
        <w:t>Forme de marché : ordinaire. Attribution d'un marché unique.</w:t>
      </w:r>
    </w:p>
    <w:p w:rsidR="009A048B" w:rsidRDefault="00840DCE">
      <w:pPr>
        <w:pBdr>
          <w:left w:val="none" w:sz="0" w:space="19" w:color="auto"/>
        </w:pBdr>
        <w:spacing w:after="0"/>
      </w:pPr>
      <w:r>
        <w:rPr>
          <w:rFonts w:ascii="Arial" w:hAnsi="Arial"/>
          <w:b/>
          <w:i/>
          <w:color w:val="5A5A5A"/>
          <w:sz w:val="18"/>
        </w:rPr>
        <w:t xml:space="preserve">Quantité ou </w:t>
      </w:r>
      <w:r>
        <w:rPr>
          <w:rFonts w:ascii="Arial" w:hAnsi="Arial"/>
          <w:b/>
          <w:i/>
          <w:color w:val="5A5A5A"/>
          <w:sz w:val="18"/>
        </w:rPr>
        <w:t>étendue globale :</w:t>
      </w:r>
    </w:p>
    <w:p w:rsidR="009A048B" w:rsidRDefault="00840DCE">
      <w:pPr>
        <w:pBdr>
          <w:left w:val="none" w:sz="0" w:space="6" w:color="auto"/>
        </w:pBdr>
        <w:spacing w:after="0"/>
      </w:pPr>
      <w:r>
        <w:rPr>
          <w:rFonts w:ascii="Arial" w:hAnsi="Arial"/>
          <w:color w:val="434343"/>
          <w:sz w:val="18"/>
        </w:rPr>
        <w:t>Détail des éléments de mission confiés au maître d'</w:t>
      </w:r>
      <w:proofErr w:type="spellStart"/>
      <w:r>
        <w:rPr>
          <w:rFonts w:ascii="Arial" w:hAnsi="Arial"/>
          <w:color w:val="434343"/>
          <w:sz w:val="18"/>
        </w:rPr>
        <w:t>oeuvre</w:t>
      </w:r>
      <w:proofErr w:type="spellEnd"/>
      <w:r>
        <w:rPr>
          <w:rFonts w:ascii="Arial" w:hAnsi="Arial"/>
          <w:color w:val="434343"/>
          <w:sz w:val="18"/>
        </w:rPr>
        <w:t xml:space="preserve"> : MISSION - Etudes d'esquisse MISSION - Avant-projet sommaire MISSION - Avant-projet définitif MISSION - Etudes de projet MISSION - Assistance pour la passation du contrat de trava</w:t>
      </w:r>
      <w:r>
        <w:rPr>
          <w:rFonts w:ascii="Arial" w:hAnsi="Arial"/>
          <w:color w:val="434343"/>
          <w:sz w:val="18"/>
        </w:rPr>
        <w:t>ux MISSION - Etudes d'exécution et de synthèse MISSION - Assistance aux opérations de réception et de garantie de parfait achèvement MISSION - Ordonnancement, pilotage et coordination MISSION - Direction de l'exécution des contrats</w:t>
      </w:r>
    </w:p>
    <w:p w:rsidR="009A048B" w:rsidRDefault="00840DCE">
      <w:pPr>
        <w:pBdr>
          <w:left w:val="none" w:sz="0" w:space="19" w:color="auto"/>
        </w:pBdr>
        <w:spacing w:after="0"/>
      </w:pPr>
      <w:r>
        <w:rPr>
          <w:rFonts w:ascii="Arial" w:hAnsi="Arial"/>
          <w:b/>
          <w:i/>
          <w:color w:val="5A5A5A"/>
          <w:sz w:val="18"/>
        </w:rPr>
        <w:t>Des variantes seront-ell</w:t>
      </w:r>
      <w:r>
        <w:rPr>
          <w:rFonts w:ascii="Arial" w:hAnsi="Arial"/>
          <w:b/>
          <w:i/>
          <w:color w:val="5A5A5A"/>
          <w:sz w:val="18"/>
        </w:rPr>
        <w:t>es prises en compte :</w:t>
      </w:r>
    </w:p>
    <w:p w:rsidR="009A048B" w:rsidRDefault="00840DCE">
      <w:pPr>
        <w:pBdr>
          <w:left w:val="none" w:sz="0" w:space="6" w:color="auto"/>
        </w:pBdr>
        <w:spacing w:after="0"/>
      </w:pPr>
      <w:r>
        <w:rPr>
          <w:rFonts w:ascii="Arial" w:hAnsi="Arial"/>
          <w:color w:val="434343"/>
          <w:sz w:val="18"/>
        </w:rPr>
        <w:t xml:space="preserve">Non. </w:t>
      </w:r>
    </w:p>
    <w:p w:rsidR="009A048B" w:rsidRDefault="00840DCE">
      <w:pPr>
        <w:pBdr>
          <w:left w:val="none" w:sz="0" w:space="19" w:color="auto"/>
        </w:pBdr>
        <w:spacing w:after="0"/>
      </w:pPr>
      <w:r>
        <w:rPr>
          <w:rFonts w:ascii="Arial" w:hAnsi="Arial"/>
          <w:b/>
          <w:i/>
          <w:color w:val="5A5A5A"/>
          <w:sz w:val="18"/>
        </w:rPr>
        <w:t xml:space="preserve">La procédure d'achat du présent avis est </w:t>
      </w:r>
      <w:proofErr w:type="gramStart"/>
      <w:r>
        <w:rPr>
          <w:rFonts w:ascii="Arial" w:hAnsi="Arial"/>
          <w:b/>
          <w:i/>
          <w:color w:val="5A5A5A"/>
          <w:sz w:val="18"/>
        </w:rPr>
        <w:t>couverte</w:t>
      </w:r>
      <w:proofErr w:type="gramEnd"/>
      <w:r>
        <w:rPr>
          <w:rFonts w:ascii="Arial" w:hAnsi="Arial"/>
          <w:b/>
          <w:i/>
          <w:color w:val="5A5A5A"/>
          <w:sz w:val="18"/>
        </w:rPr>
        <w:t xml:space="preserve"> par l'accord sur les marchés publics de l'OMC :</w:t>
      </w:r>
    </w:p>
    <w:p w:rsidR="009A048B" w:rsidRDefault="00840DCE">
      <w:pPr>
        <w:pBdr>
          <w:left w:val="none" w:sz="0" w:space="6" w:color="auto"/>
        </w:pBdr>
        <w:spacing w:after="0"/>
      </w:pPr>
      <w:r>
        <w:rPr>
          <w:rFonts w:ascii="Arial" w:hAnsi="Arial"/>
          <w:color w:val="434343"/>
          <w:sz w:val="18"/>
        </w:rPr>
        <w:t>Non.</w:t>
      </w:r>
    </w:p>
    <w:p w:rsidR="009A048B" w:rsidRDefault="00840DCE">
      <w:pPr>
        <w:pBdr>
          <w:left w:val="none" w:sz="0" w:space="19" w:color="auto"/>
        </w:pBdr>
        <w:spacing w:after="0"/>
      </w:pPr>
      <w:r>
        <w:rPr>
          <w:rFonts w:ascii="Arial" w:hAnsi="Arial"/>
          <w:b/>
          <w:i/>
          <w:color w:val="5A5A5A"/>
          <w:sz w:val="18"/>
        </w:rPr>
        <w:t>Prestations divisées en lots :</w:t>
      </w:r>
    </w:p>
    <w:p w:rsidR="009A048B" w:rsidRDefault="00840DCE">
      <w:pPr>
        <w:pBdr>
          <w:left w:val="none" w:sz="0" w:space="6" w:color="auto"/>
        </w:pBdr>
        <w:spacing w:after="0"/>
      </w:pPr>
      <w:r>
        <w:rPr>
          <w:rFonts w:ascii="Arial" w:hAnsi="Arial"/>
          <w:color w:val="434343"/>
          <w:sz w:val="18"/>
        </w:rPr>
        <w:t>Non.</w:t>
      </w:r>
    </w:p>
    <w:p w:rsidR="009A048B" w:rsidRDefault="00840DCE">
      <w:pPr>
        <w:pBdr>
          <w:left w:val="none" w:sz="0" w:space="19" w:color="auto"/>
        </w:pBdr>
        <w:spacing w:after="0"/>
      </w:pPr>
      <w:r>
        <w:rPr>
          <w:rFonts w:ascii="Arial" w:hAnsi="Arial"/>
          <w:b/>
          <w:i/>
          <w:color w:val="5A5A5A"/>
          <w:sz w:val="18"/>
        </w:rPr>
        <w:t>Durée du marché ou délai d'exécution :</w:t>
      </w:r>
    </w:p>
    <w:p w:rsidR="009A048B" w:rsidRDefault="00840DCE">
      <w:pPr>
        <w:pBdr>
          <w:left w:val="none" w:sz="0" w:space="6" w:color="auto"/>
        </w:pBdr>
        <w:spacing w:after="0"/>
      </w:pPr>
      <w:r>
        <w:rPr>
          <w:rFonts w:ascii="Arial" w:hAnsi="Arial"/>
          <w:color w:val="434343"/>
          <w:sz w:val="18"/>
        </w:rPr>
        <w:t xml:space="preserve">25 mois. </w:t>
      </w:r>
    </w:p>
    <w:p w:rsidR="009A048B" w:rsidRDefault="00840DCE">
      <w:pPr>
        <w:pBdr>
          <w:left w:val="none" w:sz="0" w:space="19" w:color="auto"/>
        </w:pBdr>
        <w:spacing w:after="0"/>
      </w:pPr>
      <w:r>
        <w:rPr>
          <w:rFonts w:ascii="Arial" w:hAnsi="Arial"/>
          <w:b/>
          <w:i/>
          <w:color w:val="5A5A5A"/>
          <w:sz w:val="18"/>
        </w:rPr>
        <w:t>Cautionnement et garanties exigés :</w:t>
      </w:r>
    </w:p>
    <w:p w:rsidR="009A048B" w:rsidRDefault="00840DCE">
      <w:pPr>
        <w:pBdr>
          <w:left w:val="none" w:sz="0" w:space="6" w:color="auto"/>
        </w:pBdr>
        <w:spacing w:after="0"/>
      </w:pPr>
      <w:r>
        <w:rPr>
          <w:rFonts w:ascii="Arial" w:hAnsi="Arial"/>
          <w:color w:val="434343"/>
          <w:sz w:val="18"/>
        </w:rPr>
        <w:t>Gara</w:t>
      </w:r>
      <w:r>
        <w:rPr>
          <w:rFonts w:ascii="Arial" w:hAnsi="Arial"/>
          <w:color w:val="434343"/>
          <w:sz w:val="18"/>
        </w:rPr>
        <w:t>ntie à première demande couvrant 100,0 % du montant de l'avance.</w:t>
      </w:r>
    </w:p>
    <w:p w:rsidR="009A048B" w:rsidRDefault="00840DCE">
      <w:pPr>
        <w:pBdr>
          <w:left w:val="none" w:sz="0" w:space="19" w:color="auto"/>
        </w:pBdr>
        <w:spacing w:after="0"/>
      </w:pPr>
      <w:r>
        <w:rPr>
          <w:rFonts w:ascii="Arial" w:hAnsi="Arial"/>
          <w:b/>
          <w:i/>
          <w:color w:val="5A5A5A"/>
          <w:sz w:val="18"/>
        </w:rPr>
        <w:t>Modalités essentielles de financement et de paiement et/ou références aux textes qui les réglementent :</w:t>
      </w:r>
    </w:p>
    <w:p w:rsidR="009A048B" w:rsidRDefault="00840DCE">
      <w:pPr>
        <w:pBdr>
          <w:left w:val="none" w:sz="0" w:space="6" w:color="auto"/>
        </w:pBdr>
        <w:spacing w:after="0"/>
      </w:pPr>
      <w:r>
        <w:rPr>
          <w:rFonts w:ascii="Arial" w:hAnsi="Arial"/>
          <w:color w:val="434343"/>
          <w:sz w:val="18"/>
        </w:rPr>
        <w:t>Prestations réglées par un prix global forfaitaire Prix fermes. Avance de 5,0 % accordé</w:t>
      </w:r>
      <w:r>
        <w:rPr>
          <w:rFonts w:ascii="Arial" w:hAnsi="Arial"/>
          <w:color w:val="434343"/>
          <w:sz w:val="18"/>
        </w:rPr>
        <w:t>e dans les conditions prévues au contrat. Délai global de paiement des prestations de 30 jours.</w:t>
      </w:r>
    </w:p>
    <w:p w:rsidR="009A048B" w:rsidRDefault="00840DCE">
      <w:pPr>
        <w:pBdr>
          <w:left w:val="none" w:sz="0" w:space="19" w:color="auto"/>
        </w:pBdr>
        <w:spacing w:after="0"/>
      </w:pPr>
      <w:r>
        <w:rPr>
          <w:rFonts w:ascii="Arial" w:hAnsi="Arial"/>
          <w:b/>
          <w:i/>
          <w:color w:val="5A5A5A"/>
          <w:sz w:val="18"/>
        </w:rPr>
        <w:t>Forme juridique que devra revêtir le groupement d'opérateurs économiques attributaire du marché :</w:t>
      </w:r>
    </w:p>
    <w:p w:rsidR="009A048B" w:rsidRDefault="00840DCE">
      <w:pPr>
        <w:pBdr>
          <w:left w:val="none" w:sz="0" w:space="6" w:color="auto"/>
        </w:pBdr>
        <w:spacing w:after="0"/>
      </w:pPr>
      <w:r>
        <w:rPr>
          <w:rFonts w:ascii="Arial" w:hAnsi="Arial"/>
          <w:color w:val="434343"/>
          <w:sz w:val="18"/>
        </w:rPr>
        <w:t>Aucune forme de groupement imposée à l'attributaire du marché.</w:t>
      </w:r>
    </w:p>
    <w:p w:rsidR="009A048B" w:rsidRDefault="00840DCE">
      <w:pPr>
        <w:pBdr>
          <w:left w:val="none" w:sz="0" w:space="19" w:color="auto"/>
        </w:pBdr>
        <w:spacing w:after="0"/>
      </w:pPr>
      <w:r>
        <w:rPr>
          <w:rFonts w:ascii="Arial" w:hAnsi="Arial"/>
          <w:b/>
          <w:i/>
          <w:color w:val="5A5A5A"/>
          <w:sz w:val="18"/>
        </w:rPr>
        <w:t>Langue(s) pouvant être utilisée(s) dans l'offre ou la candidature :</w:t>
      </w:r>
    </w:p>
    <w:p w:rsidR="009A048B" w:rsidRDefault="00840DCE">
      <w:pPr>
        <w:pBdr>
          <w:left w:val="none" w:sz="0" w:space="6" w:color="auto"/>
        </w:pBdr>
        <w:spacing w:after="0"/>
      </w:pPr>
      <w:r>
        <w:rPr>
          <w:rFonts w:ascii="Arial" w:hAnsi="Arial"/>
          <w:color w:val="434343"/>
          <w:sz w:val="18"/>
        </w:rPr>
        <w:t xml:space="preserve">Français. </w:t>
      </w:r>
    </w:p>
    <w:p w:rsidR="009A048B" w:rsidRDefault="00840DCE">
      <w:pPr>
        <w:pBdr>
          <w:left w:val="none" w:sz="0" w:space="19" w:color="auto"/>
        </w:pBdr>
        <w:spacing w:after="0"/>
      </w:pPr>
      <w:r>
        <w:rPr>
          <w:rFonts w:ascii="Arial" w:hAnsi="Arial"/>
          <w:b/>
          <w:i/>
          <w:color w:val="5A5A5A"/>
          <w:sz w:val="18"/>
        </w:rPr>
        <w:t>Unité monétaire utilisée :</w:t>
      </w:r>
    </w:p>
    <w:p w:rsidR="009A048B" w:rsidRDefault="00840DCE">
      <w:pPr>
        <w:pBdr>
          <w:left w:val="none" w:sz="0" w:space="6" w:color="auto"/>
        </w:pBdr>
        <w:spacing w:after="0"/>
      </w:pPr>
      <w:proofErr w:type="gramStart"/>
      <w:r>
        <w:rPr>
          <w:rFonts w:ascii="Arial" w:hAnsi="Arial"/>
          <w:color w:val="434343"/>
          <w:sz w:val="18"/>
        </w:rPr>
        <w:t>l'euro</w:t>
      </w:r>
      <w:proofErr w:type="gramEnd"/>
      <w:r>
        <w:rPr>
          <w:rFonts w:ascii="Arial" w:hAnsi="Arial"/>
          <w:color w:val="434343"/>
          <w:sz w:val="18"/>
        </w:rPr>
        <w:t>.</w:t>
      </w:r>
    </w:p>
    <w:p w:rsidR="009A048B" w:rsidRDefault="00840DCE">
      <w:pPr>
        <w:pBdr>
          <w:left w:val="none" w:sz="0" w:space="19" w:color="auto"/>
        </w:pBdr>
        <w:spacing w:after="0"/>
      </w:pPr>
      <w:r>
        <w:rPr>
          <w:rFonts w:ascii="Arial" w:hAnsi="Arial"/>
          <w:b/>
          <w:i/>
          <w:color w:val="5A5A5A"/>
          <w:sz w:val="18"/>
        </w:rPr>
        <w:t>Conditions de participation :</w:t>
      </w:r>
    </w:p>
    <w:p w:rsidR="009A048B" w:rsidRDefault="00840DCE">
      <w:pPr>
        <w:pBdr>
          <w:left w:val="none" w:sz="0" w:space="19" w:color="auto"/>
        </w:pBdr>
        <w:spacing w:after="0"/>
      </w:pPr>
      <w:r>
        <w:rPr>
          <w:rFonts w:ascii="Arial" w:hAnsi="Arial"/>
          <w:b/>
          <w:i/>
          <w:color w:val="5A5A5A"/>
          <w:sz w:val="18"/>
        </w:rPr>
        <w:lastRenderedPageBreak/>
        <w:t>Situation juridique - références requises :</w:t>
      </w:r>
    </w:p>
    <w:p w:rsidR="009A048B" w:rsidRDefault="00840DCE">
      <w:pPr>
        <w:pBdr>
          <w:left w:val="none" w:sz="0" w:space="6" w:color="auto"/>
        </w:pBdr>
        <w:spacing w:after="0"/>
      </w:pPr>
      <w:r>
        <w:rPr>
          <w:rFonts w:ascii="Arial" w:hAnsi="Arial"/>
          <w:color w:val="434343"/>
          <w:sz w:val="18"/>
        </w:rPr>
        <w:t xml:space="preserve">Références requises mentionnées dans les documents de la </w:t>
      </w:r>
      <w:proofErr w:type="gramStart"/>
      <w:r>
        <w:rPr>
          <w:rFonts w:ascii="Arial" w:hAnsi="Arial"/>
          <w:color w:val="434343"/>
          <w:sz w:val="18"/>
        </w:rPr>
        <w:t>consultati</w:t>
      </w:r>
      <w:r>
        <w:rPr>
          <w:rFonts w:ascii="Arial" w:hAnsi="Arial"/>
          <w:color w:val="434343"/>
          <w:sz w:val="18"/>
        </w:rPr>
        <w:t>on..</w:t>
      </w:r>
      <w:proofErr w:type="gramEnd"/>
    </w:p>
    <w:p w:rsidR="009A048B" w:rsidRDefault="00840DCE">
      <w:pPr>
        <w:pBdr>
          <w:left w:val="none" w:sz="0" w:space="19" w:color="auto"/>
        </w:pBdr>
        <w:spacing w:after="0"/>
      </w:pPr>
      <w:r>
        <w:rPr>
          <w:rFonts w:ascii="Arial" w:hAnsi="Arial"/>
          <w:b/>
          <w:i/>
          <w:color w:val="5A5A5A"/>
          <w:sz w:val="18"/>
        </w:rPr>
        <w:t>Capacité économique et financière :</w:t>
      </w:r>
    </w:p>
    <w:p w:rsidR="009A048B" w:rsidRDefault="00840DCE">
      <w:pPr>
        <w:pBdr>
          <w:left w:val="none" w:sz="0" w:space="6" w:color="auto"/>
        </w:pBdr>
        <w:spacing w:after="0"/>
      </w:pPr>
      <w:r>
        <w:rPr>
          <w:rFonts w:ascii="Arial" w:hAnsi="Arial"/>
          <w:color w:val="434343"/>
          <w:sz w:val="18"/>
        </w:rPr>
        <w:t xml:space="preserve">Références requises mentionnées dans les documents de la </w:t>
      </w:r>
      <w:proofErr w:type="gramStart"/>
      <w:r>
        <w:rPr>
          <w:rFonts w:ascii="Arial" w:hAnsi="Arial"/>
          <w:color w:val="434343"/>
          <w:sz w:val="18"/>
        </w:rPr>
        <w:t>consultation..</w:t>
      </w:r>
      <w:proofErr w:type="gramEnd"/>
    </w:p>
    <w:p w:rsidR="009A048B" w:rsidRDefault="00840DCE">
      <w:pPr>
        <w:pBdr>
          <w:left w:val="none" w:sz="0" w:space="19" w:color="auto"/>
        </w:pBdr>
        <w:spacing w:after="0"/>
      </w:pPr>
      <w:r>
        <w:rPr>
          <w:rFonts w:ascii="Arial" w:hAnsi="Arial"/>
          <w:b/>
          <w:i/>
          <w:color w:val="5A5A5A"/>
          <w:sz w:val="18"/>
        </w:rPr>
        <w:t>Capacité technique :</w:t>
      </w:r>
    </w:p>
    <w:p w:rsidR="009A048B" w:rsidRDefault="00840DCE">
      <w:pPr>
        <w:pBdr>
          <w:left w:val="none" w:sz="0" w:space="6" w:color="auto"/>
        </w:pBdr>
        <w:spacing w:after="0"/>
      </w:pPr>
      <w:r>
        <w:rPr>
          <w:rFonts w:ascii="Arial" w:hAnsi="Arial"/>
          <w:color w:val="434343"/>
          <w:sz w:val="18"/>
        </w:rPr>
        <w:t xml:space="preserve">Références requises mentionnées dans les documents de la </w:t>
      </w:r>
      <w:proofErr w:type="gramStart"/>
      <w:r>
        <w:rPr>
          <w:rFonts w:ascii="Arial" w:hAnsi="Arial"/>
          <w:color w:val="434343"/>
          <w:sz w:val="18"/>
        </w:rPr>
        <w:t>consultation..</w:t>
      </w:r>
      <w:proofErr w:type="gramEnd"/>
    </w:p>
    <w:p w:rsidR="009A048B" w:rsidRDefault="00840DCE">
      <w:pPr>
        <w:pBdr>
          <w:left w:val="none" w:sz="0" w:space="19" w:color="auto"/>
        </w:pBdr>
        <w:spacing w:after="0"/>
      </w:pPr>
      <w:r>
        <w:rPr>
          <w:rFonts w:ascii="Arial" w:hAnsi="Arial"/>
          <w:b/>
          <w:i/>
          <w:color w:val="5A5A5A"/>
          <w:sz w:val="18"/>
        </w:rPr>
        <w:t>Marché réservé :</w:t>
      </w:r>
    </w:p>
    <w:p w:rsidR="009A048B" w:rsidRDefault="00840DCE">
      <w:pPr>
        <w:pBdr>
          <w:left w:val="none" w:sz="0" w:space="6" w:color="auto"/>
        </w:pBdr>
        <w:spacing w:after="0"/>
      </w:pPr>
      <w:r>
        <w:rPr>
          <w:rFonts w:ascii="Arial" w:hAnsi="Arial"/>
          <w:color w:val="434343"/>
          <w:sz w:val="18"/>
        </w:rPr>
        <w:t>Non.</w:t>
      </w:r>
    </w:p>
    <w:p w:rsidR="009A048B" w:rsidRDefault="00840DCE">
      <w:pPr>
        <w:pBdr>
          <w:left w:val="none" w:sz="0" w:space="19" w:color="auto"/>
        </w:pBdr>
        <w:spacing w:after="0"/>
      </w:pPr>
      <w:r>
        <w:rPr>
          <w:rFonts w:ascii="Arial" w:hAnsi="Arial"/>
          <w:b/>
          <w:i/>
          <w:color w:val="5A5A5A"/>
          <w:sz w:val="18"/>
        </w:rPr>
        <w:t>La prestation est réservée à</w:t>
      </w:r>
      <w:r>
        <w:rPr>
          <w:rFonts w:ascii="Arial" w:hAnsi="Arial"/>
          <w:b/>
          <w:i/>
          <w:color w:val="5A5A5A"/>
          <w:sz w:val="18"/>
        </w:rPr>
        <w:t xml:space="preserve"> une profession particulière :</w:t>
      </w:r>
    </w:p>
    <w:p w:rsidR="009A048B" w:rsidRDefault="00840DCE">
      <w:pPr>
        <w:pBdr>
          <w:left w:val="none" w:sz="0" w:space="6" w:color="auto"/>
        </w:pBdr>
        <w:spacing w:after="0"/>
      </w:pPr>
      <w:r>
        <w:rPr>
          <w:rFonts w:ascii="Arial" w:hAnsi="Arial"/>
          <w:color w:val="434343"/>
          <w:sz w:val="18"/>
        </w:rPr>
        <w:t>Non.</w:t>
      </w:r>
    </w:p>
    <w:p w:rsidR="009A048B" w:rsidRDefault="00840DCE">
      <w:pPr>
        <w:pBdr>
          <w:left w:val="none" w:sz="0" w:space="19" w:color="auto"/>
        </w:pBdr>
        <w:spacing w:after="0"/>
      </w:pPr>
      <w:r>
        <w:rPr>
          <w:rFonts w:ascii="Arial" w:hAnsi="Arial"/>
          <w:b/>
          <w:i/>
          <w:color w:val="5A5A5A"/>
          <w:sz w:val="18"/>
        </w:rPr>
        <w:t>Les personnes morales sont tenues d'indiquer les noms et qualifications professionnelles des membres du personnel chargé de la prestation :</w:t>
      </w:r>
    </w:p>
    <w:p w:rsidR="009A048B" w:rsidRDefault="00840DCE">
      <w:pPr>
        <w:pBdr>
          <w:left w:val="none" w:sz="0" w:space="6" w:color="auto"/>
        </w:pBdr>
        <w:spacing w:after="0"/>
      </w:pPr>
      <w:r>
        <w:rPr>
          <w:rFonts w:ascii="Arial" w:hAnsi="Arial"/>
          <w:color w:val="434343"/>
          <w:sz w:val="18"/>
        </w:rPr>
        <w:t>Non.</w:t>
      </w:r>
    </w:p>
    <w:p w:rsidR="009A048B" w:rsidRDefault="00840DCE">
      <w:pPr>
        <w:pBdr>
          <w:left w:val="none" w:sz="0" w:space="19" w:color="auto"/>
        </w:pBdr>
        <w:spacing w:after="0"/>
      </w:pPr>
      <w:r>
        <w:rPr>
          <w:rFonts w:ascii="Arial" w:hAnsi="Arial"/>
          <w:b/>
          <w:i/>
          <w:color w:val="5A5A5A"/>
          <w:sz w:val="18"/>
        </w:rPr>
        <w:t>La transmission et la vérification des documents de candidatures peuvent êt</w:t>
      </w:r>
      <w:r>
        <w:rPr>
          <w:rFonts w:ascii="Arial" w:hAnsi="Arial"/>
          <w:b/>
          <w:i/>
          <w:color w:val="5A5A5A"/>
          <w:sz w:val="18"/>
        </w:rPr>
        <w:t>re effectuées par le dispositif Marché public simplifié sur présentation du numéro de SIRET :</w:t>
      </w:r>
    </w:p>
    <w:p w:rsidR="009A048B" w:rsidRDefault="00840DCE">
      <w:pPr>
        <w:pBdr>
          <w:left w:val="none" w:sz="0" w:space="6" w:color="auto"/>
        </w:pBdr>
        <w:spacing w:after="0"/>
      </w:pPr>
      <w:r>
        <w:rPr>
          <w:rFonts w:ascii="Arial" w:hAnsi="Arial"/>
          <w:color w:val="434343"/>
          <w:sz w:val="18"/>
        </w:rPr>
        <w:t>Non</w:t>
      </w:r>
    </w:p>
    <w:p w:rsidR="009A048B" w:rsidRDefault="00840DCE">
      <w:pPr>
        <w:pBdr>
          <w:left w:val="none" w:sz="0" w:space="19" w:color="auto"/>
        </w:pBdr>
        <w:spacing w:after="0"/>
      </w:pPr>
      <w:r>
        <w:rPr>
          <w:rFonts w:ascii="Arial" w:hAnsi="Arial"/>
          <w:b/>
          <w:i/>
          <w:color w:val="5A5A5A"/>
          <w:sz w:val="18"/>
        </w:rPr>
        <w:t>Candidats :</w:t>
      </w:r>
    </w:p>
    <w:p w:rsidR="009A048B" w:rsidRDefault="00840DCE">
      <w:pPr>
        <w:spacing w:after="0"/>
      </w:pPr>
      <w:r>
        <w:rPr>
          <w:rFonts w:ascii="Arial" w:hAnsi="Arial"/>
          <w:color w:val="434343"/>
          <w:sz w:val="18"/>
        </w:rPr>
        <w:t xml:space="preserve">Recours à une procédure se déroulant en phases successives afin de réduire progressivement le nombre des solutions à discuter ou des offres à négocier : </w:t>
      </w:r>
    </w:p>
    <w:p w:rsidR="009A048B" w:rsidRDefault="00840DCE">
      <w:pPr>
        <w:pBdr>
          <w:left w:val="none" w:sz="0" w:space="6" w:color="auto"/>
        </w:pBdr>
        <w:spacing w:after="0"/>
      </w:pPr>
      <w:r>
        <w:rPr>
          <w:rFonts w:ascii="Arial" w:hAnsi="Arial"/>
          <w:color w:val="434343"/>
          <w:sz w:val="18"/>
        </w:rPr>
        <w:t>Non.</w:t>
      </w:r>
    </w:p>
    <w:p w:rsidR="009A048B" w:rsidRDefault="00840DCE">
      <w:pPr>
        <w:pBdr>
          <w:left w:val="none" w:sz="0" w:space="19" w:color="auto"/>
        </w:pBdr>
        <w:spacing w:after="0"/>
      </w:pPr>
      <w:r>
        <w:rPr>
          <w:rFonts w:ascii="Arial" w:hAnsi="Arial"/>
          <w:b/>
          <w:i/>
          <w:color w:val="5A5A5A"/>
          <w:sz w:val="18"/>
        </w:rPr>
        <w:t>Critères d'attribution :</w:t>
      </w:r>
    </w:p>
    <w:p w:rsidR="009A048B" w:rsidRDefault="00840DCE">
      <w:pPr>
        <w:pBdr>
          <w:left w:val="none" w:sz="0" w:space="6" w:color="auto"/>
        </w:pBdr>
        <w:spacing w:after="0"/>
      </w:pPr>
      <w:r>
        <w:rPr>
          <w:rFonts w:ascii="Arial" w:hAnsi="Arial"/>
          <w:color w:val="434343"/>
          <w:sz w:val="18"/>
        </w:rPr>
        <w:t>Offre économiquement la plus avantageuse appréciée en fonction des critè</w:t>
      </w:r>
      <w:r>
        <w:rPr>
          <w:rFonts w:ascii="Arial" w:hAnsi="Arial"/>
          <w:color w:val="434343"/>
          <w:sz w:val="18"/>
        </w:rPr>
        <w:t xml:space="preserve">res énoncés dans le cahier des charges (règlement de la consultation, lettre d'invitation ou document descriptif). </w:t>
      </w:r>
    </w:p>
    <w:p w:rsidR="009A048B" w:rsidRDefault="00840DCE">
      <w:pPr>
        <w:pBdr>
          <w:left w:val="none" w:sz="0" w:space="19" w:color="auto"/>
        </w:pBdr>
        <w:spacing w:after="0"/>
      </w:pPr>
      <w:r>
        <w:rPr>
          <w:rFonts w:ascii="Arial" w:hAnsi="Arial"/>
          <w:b/>
          <w:i/>
          <w:color w:val="5A5A5A"/>
          <w:sz w:val="18"/>
        </w:rPr>
        <w:t>Type de procédure :</w:t>
      </w:r>
    </w:p>
    <w:p w:rsidR="009A048B" w:rsidRDefault="00840DCE">
      <w:pPr>
        <w:pBdr>
          <w:left w:val="none" w:sz="0" w:space="6" w:color="auto"/>
        </w:pBdr>
        <w:spacing w:after="0"/>
      </w:pPr>
      <w:r>
        <w:rPr>
          <w:rFonts w:ascii="Arial" w:hAnsi="Arial"/>
          <w:color w:val="434343"/>
          <w:sz w:val="18"/>
        </w:rPr>
        <w:t xml:space="preserve">Procédure adaptée. </w:t>
      </w:r>
    </w:p>
    <w:p w:rsidR="009A048B" w:rsidRDefault="00840DCE">
      <w:pPr>
        <w:pBdr>
          <w:left w:val="none" w:sz="0" w:space="19" w:color="auto"/>
        </w:pBdr>
        <w:spacing w:after="0"/>
      </w:pPr>
      <w:r>
        <w:rPr>
          <w:rFonts w:ascii="Arial" w:hAnsi="Arial"/>
          <w:b/>
          <w:i/>
          <w:color w:val="5A5A5A"/>
          <w:sz w:val="18"/>
        </w:rPr>
        <w:t>Date limite de réception des offres :</w:t>
      </w:r>
    </w:p>
    <w:p w:rsidR="009A048B" w:rsidRDefault="00840DCE">
      <w:pPr>
        <w:pBdr>
          <w:left w:val="none" w:sz="0" w:space="6" w:color="auto"/>
        </w:pBdr>
        <w:spacing w:after="0"/>
      </w:pPr>
      <w:r>
        <w:rPr>
          <w:rFonts w:ascii="Arial" w:hAnsi="Arial"/>
          <w:color w:val="434343"/>
          <w:sz w:val="18"/>
        </w:rPr>
        <w:t>06/10/</w:t>
      </w:r>
      <w:proofErr w:type="gramStart"/>
      <w:r>
        <w:rPr>
          <w:rFonts w:ascii="Arial" w:hAnsi="Arial"/>
          <w:color w:val="434343"/>
          <w:sz w:val="18"/>
        </w:rPr>
        <w:t>23  (</w:t>
      </w:r>
      <w:proofErr w:type="gramEnd"/>
      <w:r>
        <w:rPr>
          <w:rFonts w:ascii="Arial" w:hAnsi="Arial"/>
          <w:color w:val="434343"/>
          <w:sz w:val="18"/>
        </w:rPr>
        <w:t xml:space="preserve">12:00) </w:t>
      </w:r>
    </w:p>
    <w:p w:rsidR="009A048B" w:rsidRDefault="00840DCE">
      <w:pPr>
        <w:pBdr>
          <w:left w:val="none" w:sz="0" w:space="19" w:color="auto"/>
        </w:pBdr>
        <w:spacing w:after="0"/>
      </w:pPr>
      <w:r>
        <w:rPr>
          <w:rFonts w:ascii="Arial" w:hAnsi="Arial"/>
          <w:b/>
          <w:i/>
          <w:color w:val="5A5A5A"/>
          <w:sz w:val="18"/>
        </w:rPr>
        <w:t>Délai de validité des offres :</w:t>
      </w:r>
    </w:p>
    <w:p w:rsidR="009A048B" w:rsidRDefault="00840DCE">
      <w:pPr>
        <w:pBdr>
          <w:left w:val="none" w:sz="0" w:space="6" w:color="auto"/>
        </w:pBdr>
        <w:spacing w:after="0"/>
      </w:pPr>
      <w:r>
        <w:rPr>
          <w:rFonts w:ascii="Arial" w:hAnsi="Arial"/>
          <w:color w:val="434343"/>
          <w:sz w:val="18"/>
        </w:rPr>
        <w:t xml:space="preserve">120 jours </w:t>
      </w:r>
      <w:r>
        <w:rPr>
          <w:rFonts w:ascii="Arial" w:hAnsi="Arial"/>
          <w:color w:val="434343"/>
          <w:sz w:val="18"/>
        </w:rPr>
        <w:t xml:space="preserve">à compter de la date limite de réception des offres. </w:t>
      </w:r>
    </w:p>
    <w:p w:rsidR="009A048B" w:rsidRDefault="00840DCE">
      <w:pPr>
        <w:pBdr>
          <w:left w:val="none" w:sz="0" w:space="19" w:color="auto"/>
        </w:pBdr>
        <w:spacing w:after="0"/>
      </w:pPr>
      <w:r>
        <w:rPr>
          <w:rFonts w:ascii="Arial" w:hAnsi="Arial"/>
          <w:b/>
          <w:i/>
          <w:color w:val="5A5A5A"/>
          <w:sz w:val="18"/>
        </w:rPr>
        <w:t>Numéro de référence attribué au marché par le pouvoir adjudicateur / l'entité adjudicatrice :</w:t>
      </w:r>
    </w:p>
    <w:p w:rsidR="009A048B" w:rsidRDefault="00840DCE">
      <w:pPr>
        <w:pBdr>
          <w:left w:val="none" w:sz="0" w:space="6" w:color="auto"/>
        </w:pBdr>
        <w:spacing w:after="0"/>
      </w:pPr>
      <w:r>
        <w:rPr>
          <w:rFonts w:ascii="Arial" w:hAnsi="Arial"/>
          <w:color w:val="434343"/>
          <w:sz w:val="18"/>
        </w:rPr>
        <w:t>23MOEDESJOYAUX/BO.</w:t>
      </w:r>
    </w:p>
    <w:p w:rsidR="009A048B" w:rsidRDefault="00840DCE">
      <w:pPr>
        <w:pBdr>
          <w:left w:val="none" w:sz="0" w:space="19" w:color="auto"/>
        </w:pBdr>
        <w:spacing w:after="0"/>
      </w:pPr>
      <w:r>
        <w:rPr>
          <w:rFonts w:ascii="Arial" w:hAnsi="Arial"/>
          <w:b/>
          <w:i/>
          <w:color w:val="5A5A5A"/>
          <w:sz w:val="18"/>
        </w:rPr>
        <w:t>Renseignements complémentaires :</w:t>
      </w:r>
    </w:p>
    <w:p w:rsidR="009A048B" w:rsidRDefault="00840DCE">
      <w:pPr>
        <w:pBdr>
          <w:left w:val="none" w:sz="0" w:space="6" w:color="auto"/>
        </w:pBdr>
        <w:spacing w:after="0"/>
      </w:pPr>
      <w:r>
        <w:rPr>
          <w:rFonts w:ascii="Arial" w:hAnsi="Arial"/>
          <w:color w:val="434343"/>
          <w:sz w:val="18"/>
        </w:rPr>
        <w:t xml:space="preserve">La transmission des documents par voie électronique est </w:t>
      </w:r>
      <w:r>
        <w:rPr>
          <w:rFonts w:ascii="Arial" w:hAnsi="Arial"/>
          <w:color w:val="434343"/>
          <w:sz w:val="18"/>
        </w:rPr>
        <w:t xml:space="preserve">effectuée sur le profil d'acheteur. Les modalités de transmission des plis par voie électronique sont définies dans le règlement de la consultation. Numéro de la consultation : 23MOEDESJOYAUX </w:t>
      </w:r>
    </w:p>
    <w:p w:rsidR="009A048B" w:rsidRDefault="00840DCE">
      <w:pPr>
        <w:pBdr>
          <w:left w:val="none" w:sz="0" w:space="19" w:color="auto"/>
        </w:pBdr>
        <w:spacing w:after="0"/>
      </w:pPr>
      <w:r>
        <w:rPr>
          <w:rFonts w:ascii="Arial" w:hAnsi="Arial"/>
          <w:b/>
          <w:i/>
          <w:color w:val="5A5A5A"/>
          <w:sz w:val="18"/>
        </w:rPr>
        <w:t>Conditions de remise des offres ou des candidatures :</w:t>
      </w:r>
    </w:p>
    <w:p w:rsidR="009A048B" w:rsidRDefault="00840DCE">
      <w:pPr>
        <w:pBdr>
          <w:left w:val="none" w:sz="0" w:space="6" w:color="auto"/>
        </w:pBdr>
        <w:spacing w:after="0"/>
      </w:pPr>
      <w:r>
        <w:rPr>
          <w:rFonts w:ascii="Arial" w:hAnsi="Arial"/>
          <w:color w:val="434343"/>
          <w:sz w:val="18"/>
        </w:rPr>
        <w:t xml:space="preserve">La </w:t>
      </w:r>
      <w:r>
        <w:rPr>
          <w:rFonts w:ascii="Arial" w:hAnsi="Arial"/>
          <w:color w:val="434343"/>
          <w:sz w:val="18"/>
        </w:rPr>
        <w:t>candidature est présentée soit sous la forme des formulaires DC1 et DC2 (disponibles gratuitement sur le site www.economie.gouv.fr.), soit sous la forme d'un Document Unique de Marché Européen (DUME). La transmission des plis par voie électronique est impo</w:t>
      </w:r>
      <w:r>
        <w:rPr>
          <w:rFonts w:ascii="Arial" w:hAnsi="Arial"/>
          <w:color w:val="434343"/>
          <w:sz w:val="18"/>
        </w:rPr>
        <w:t>sée pour cette consultation. Par conséquent, la transmission par voie papier n'est pas autorisée.</w:t>
      </w:r>
    </w:p>
    <w:p w:rsidR="009A048B" w:rsidRDefault="00840DCE">
      <w:pPr>
        <w:pBdr>
          <w:left w:val="none" w:sz="0" w:space="19" w:color="auto"/>
        </w:pBdr>
        <w:spacing w:after="0"/>
      </w:pPr>
      <w:r>
        <w:rPr>
          <w:rFonts w:ascii="Arial" w:hAnsi="Arial"/>
          <w:b/>
          <w:i/>
          <w:color w:val="5A5A5A"/>
          <w:sz w:val="18"/>
        </w:rPr>
        <w:t>Date d'envoi du présent avis à la publication :</w:t>
      </w:r>
    </w:p>
    <w:p w:rsidR="009A048B" w:rsidRDefault="00840DCE">
      <w:pPr>
        <w:pBdr>
          <w:left w:val="none" w:sz="0" w:space="6" w:color="auto"/>
        </w:pBdr>
        <w:spacing w:after="0"/>
      </w:pPr>
      <w:r>
        <w:rPr>
          <w:rFonts w:ascii="Arial" w:hAnsi="Arial"/>
          <w:color w:val="434343"/>
          <w:sz w:val="18"/>
        </w:rPr>
        <w:t>28-09-2023</w:t>
      </w:r>
    </w:p>
    <w:p w:rsidR="009A048B" w:rsidRDefault="00840DCE">
      <w:pPr>
        <w:pBdr>
          <w:left w:val="none" w:sz="0" w:space="19" w:color="auto"/>
        </w:pBdr>
        <w:spacing w:after="0"/>
      </w:pPr>
      <w:r>
        <w:rPr>
          <w:rFonts w:ascii="Arial" w:hAnsi="Arial"/>
          <w:b/>
          <w:i/>
          <w:color w:val="5A5A5A"/>
          <w:sz w:val="18"/>
        </w:rPr>
        <w:t>Adresse à laquelle les offres/candidatures/projets/demandes de participation doivent être envoyés :</w:t>
      </w:r>
    </w:p>
    <w:p w:rsidR="009A048B" w:rsidRDefault="00840DCE">
      <w:pPr>
        <w:pBdr>
          <w:left w:val="none" w:sz="0" w:space="6" w:color="auto"/>
        </w:pBdr>
        <w:spacing w:after="0"/>
      </w:pPr>
      <w:r>
        <w:rPr>
          <w:rFonts w:ascii="Arial" w:hAnsi="Arial"/>
          <w:color w:val="434343"/>
          <w:sz w:val="18"/>
        </w:rPr>
        <w:t>Adresse internet : https://www.marches-securises.fr</w:t>
      </w:r>
    </w:p>
    <w:p w:rsidR="009A048B" w:rsidRDefault="00840DCE">
      <w:pPr>
        <w:pBdr>
          <w:left w:val="none" w:sz="0" w:space="19" w:color="auto"/>
        </w:pBdr>
        <w:spacing w:after="0"/>
      </w:pPr>
      <w:r>
        <w:rPr>
          <w:rFonts w:ascii="Arial" w:hAnsi="Arial"/>
          <w:b/>
          <w:i/>
          <w:color w:val="5A5A5A"/>
          <w:sz w:val="18"/>
        </w:rPr>
        <w:t>Adresse auprès de laquelle des renseignements complémentaires peuvent être obtenus :</w:t>
      </w:r>
    </w:p>
    <w:p w:rsidR="009A048B" w:rsidRDefault="00840DCE">
      <w:pPr>
        <w:pBdr>
          <w:left w:val="none" w:sz="0" w:space="6" w:color="auto"/>
        </w:pBdr>
        <w:spacing w:after="0"/>
      </w:pPr>
      <w:r>
        <w:rPr>
          <w:rFonts w:ascii="Arial" w:hAnsi="Arial"/>
          <w:color w:val="434343"/>
          <w:sz w:val="18"/>
        </w:rPr>
        <w:t>Adresse internet : https://www.marches-securises.fr</w:t>
      </w:r>
    </w:p>
    <w:p w:rsidR="009A048B" w:rsidRDefault="00840DCE">
      <w:pPr>
        <w:pBdr>
          <w:left w:val="none" w:sz="0" w:space="19" w:color="auto"/>
        </w:pBdr>
        <w:spacing w:after="0"/>
      </w:pPr>
      <w:r>
        <w:rPr>
          <w:rFonts w:ascii="Arial" w:hAnsi="Arial"/>
          <w:b/>
          <w:i/>
          <w:color w:val="5A5A5A"/>
          <w:sz w:val="18"/>
        </w:rPr>
        <w:t>Adresse auprès de laquelle les documents peuvent être obtenus :</w:t>
      </w:r>
    </w:p>
    <w:p w:rsidR="009A048B" w:rsidRDefault="00840DCE">
      <w:pPr>
        <w:pBdr>
          <w:left w:val="none" w:sz="0" w:space="6" w:color="auto"/>
        </w:pBdr>
        <w:spacing w:after="0"/>
      </w:pPr>
      <w:r>
        <w:rPr>
          <w:rFonts w:ascii="Arial" w:hAnsi="Arial"/>
          <w:color w:val="434343"/>
          <w:sz w:val="18"/>
        </w:rPr>
        <w:t>Ad</w:t>
      </w:r>
      <w:r>
        <w:rPr>
          <w:rFonts w:ascii="Arial" w:hAnsi="Arial"/>
          <w:color w:val="434343"/>
          <w:sz w:val="18"/>
        </w:rPr>
        <w:t>resse internet : https://www.marches-securises.fr</w:t>
      </w:r>
    </w:p>
    <w:p w:rsidR="009A048B" w:rsidRDefault="00840DCE">
      <w:pPr>
        <w:pBdr>
          <w:left w:val="none" w:sz="0" w:space="19" w:color="auto"/>
        </w:pBdr>
        <w:spacing w:after="0"/>
      </w:pPr>
      <w:r>
        <w:rPr>
          <w:rFonts w:ascii="Arial" w:hAnsi="Arial"/>
          <w:b/>
          <w:i/>
          <w:color w:val="5A5A5A"/>
          <w:sz w:val="18"/>
        </w:rPr>
        <w:t>Instance chargée des procédures de recours :</w:t>
      </w:r>
    </w:p>
    <w:p w:rsidR="009A048B" w:rsidRDefault="00840DCE">
      <w:pPr>
        <w:pBdr>
          <w:left w:val="none" w:sz="0" w:space="6" w:color="auto"/>
        </w:pBdr>
        <w:spacing w:after="0"/>
      </w:pPr>
      <w:r>
        <w:rPr>
          <w:rFonts w:ascii="Arial" w:hAnsi="Arial"/>
          <w:color w:val="434343"/>
          <w:sz w:val="18"/>
        </w:rPr>
        <w:t xml:space="preserve">Tribunal Administratif de Lyon. 184, rue </w:t>
      </w:r>
      <w:proofErr w:type="gramStart"/>
      <w:r>
        <w:rPr>
          <w:rFonts w:ascii="Arial" w:hAnsi="Arial"/>
          <w:color w:val="434343"/>
          <w:sz w:val="18"/>
        </w:rPr>
        <w:t>Duguesclin ,</w:t>
      </w:r>
      <w:proofErr w:type="gramEnd"/>
      <w:r>
        <w:rPr>
          <w:rFonts w:ascii="Arial" w:hAnsi="Arial"/>
          <w:color w:val="434343"/>
          <w:sz w:val="18"/>
        </w:rPr>
        <w:t xml:space="preserve"> 69433 LYON , Cedex 03</w:t>
      </w:r>
    </w:p>
    <w:p w:rsidR="009A048B" w:rsidRDefault="00840DCE">
      <w:pPr>
        <w:pBdr>
          <w:left w:val="none" w:sz="0" w:space="19" w:color="auto"/>
        </w:pBdr>
        <w:spacing w:after="0"/>
      </w:pPr>
      <w:r>
        <w:rPr>
          <w:rFonts w:ascii="Arial" w:hAnsi="Arial"/>
          <w:b/>
          <w:i/>
          <w:color w:val="5A5A5A"/>
          <w:sz w:val="18"/>
        </w:rPr>
        <w:t xml:space="preserve">Précisions concernant le(s) délai(s) d'introduction des recours : </w:t>
      </w:r>
    </w:p>
    <w:p w:rsidR="009A048B" w:rsidRDefault="00840DCE">
      <w:pPr>
        <w:pBdr>
          <w:left w:val="none" w:sz="0" w:space="6" w:color="auto"/>
        </w:pBdr>
        <w:spacing w:after="0"/>
      </w:pPr>
      <w:r>
        <w:rPr>
          <w:rFonts w:ascii="Arial" w:hAnsi="Arial"/>
          <w:color w:val="434343"/>
          <w:sz w:val="18"/>
        </w:rPr>
        <w:t>Précisions concern</w:t>
      </w:r>
      <w:r>
        <w:rPr>
          <w:rFonts w:ascii="Arial" w:hAnsi="Arial"/>
          <w:color w:val="434343"/>
          <w:sz w:val="18"/>
        </w:rPr>
        <w:t xml:space="preserve">ant les délais d'introduction des recours : Référé </w:t>
      </w:r>
      <w:proofErr w:type="spellStart"/>
      <w:r>
        <w:rPr>
          <w:rFonts w:ascii="Arial" w:hAnsi="Arial"/>
          <w:color w:val="434343"/>
          <w:sz w:val="18"/>
        </w:rPr>
        <w:t>pré-contractuel</w:t>
      </w:r>
      <w:proofErr w:type="spellEnd"/>
      <w:r>
        <w:rPr>
          <w:rFonts w:ascii="Arial" w:hAnsi="Arial"/>
          <w:color w:val="434343"/>
          <w:sz w:val="18"/>
        </w:rPr>
        <w:t xml:space="preserve"> prévu aux articles L.551-1 à L.551-12 du Code de justice administrative (CJA), et pouvant être exercé avant la signature du contrat. Référé contractuel prévu aux articles L.551-13 à L.551-2</w:t>
      </w:r>
      <w:r>
        <w:rPr>
          <w:rFonts w:ascii="Arial" w:hAnsi="Arial"/>
          <w:color w:val="434343"/>
          <w:sz w:val="18"/>
        </w:rPr>
        <w:t xml:space="preserve">3 du CJA, et pouvant être exercé dans les délais prévus à l'article R. 551-7 du CJA. Recours de pleine juridiction ouvert aux tiers justifiant d'un intérêt lésé, et pouvant être exercé dans les deux mois suivant la date à laquelle la conclusion du contrat </w:t>
      </w:r>
      <w:r>
        <w:rPr>
          <w:rFonts w:ascii="Arial" w:hAnsi="Arial"/>
          <w:color w:val="434343"/>
          <w:sz w:val="18"/>
        </w:rPr>
        <w:t>est rendue publique.</w:t>
      </w:r>
    </w:p>
    <w:p w:rsidR="009A048B" w:rsidRDefault="00840DCE">
      <w:r>
        <w:pict>
          <v:rect id="_x0000_i1027" style="width:0;height:1.5pt" o:hralign="center" o:hrstd="t" o:hr="t" fillcolor="#a0a0a0" stroked="f"/>
        </w:pict>
      </w:r>
      <w:bookmarkStart w:id="0" w:name="_GoBack"/>
      <w:bookmarkEnd w:id="0"/>
    </w:p>
    <w:sectPr w:rsidR="009A04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8B"/>
    <w:rsid w:val="00832B72"/>
    <w:rsid w:val="00840DCE"/>
    <w:rsid w:val="009A04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0E6AB14"/>
  <w15:docId w15:val="{633AA1A3-1FC6-4C82-A907-9DD4E082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rches-securis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bitat-metropole.fr" TargetMode="External"/><Relationship Id="rId5" Type="http://schemas.openxmlformats.org/officeDocument/2006/relationships/hyperlink" Target="file:///C:\Users\magali.penel\Downloads\geraldine.ane@habitat-metropole.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916</Words>
  <Characters>5041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 Magali</dc:creator>
  <cp:lastModifiedBy>PENEL Magali</cp:lastModifiedBy>
  <cp:revision>3</cp:revision>
  <dcterms:created xsi:type="dcterms:W3CDTF">2023-09-28T14:59:00Z</dcterms:created>
  <dcterms:modified xsi:type="dcterms:W3CDTF">2023-09-28T15:02:00Z</dcterms:modified>
</cp:coreProperties>
</file>