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26" w:rsidRPr="00871026" w:rsidRDefault="00871026" w:rsidP="00871026">
      <w:pPr>
        <w:pStyle w:val="titresection0"/>
        <w:jc w:val="center"/>
        <w:rPr>
          <w:b/>
          <w:sz w:val="36"/>
          <w:szCs w:val="36"/>
          <w:u w:val="single"/>
        </w:rPr>
      </w:pPr>
      <w:r w:rsidRPr="00871026">
        <w:rPr>
          <w:b/>
          <w:sz w:val="36"/>
          <w:szCs w:val="36"/>
          <w:u w:val="single"/>
        </w:rPr>
        <w:t>AVIS DE CONCESSION</w:t>
      </w:r>
    </w:p>
    <w:p w:rsidR="00871026" w:rsidRDefault="00871026" w:rsidP="00871026">
      <w:pPr>
        <w:pStyle w:val="txt"/>
      </w:pPr>
      <w:r>
        <w:t>Directive 2014/23/UE</w:t>
      </w:r>
    </w:p>
    <w:p w:rsidR="00871026" w:rsidRDefault="00871026" w:rsidP="00871026">
      <w:pPr>
        <w:pStyle w:val="titresection"/>
      </w:pPr>
      <w:r>
        <w:t>Section I : Pouvoir adjudicateur/entité adjudicatrice</w:t>
      </w:r>
    </w:p>
    <w:tbl>
      <w:tblPr>
        <w:tblW w:w="5000" w:type="pct"/>
        <w:tblCellSpacing w:w="12" w:type="dxa"/>
        <w:tblCellMar>
          <w:left w:w="0" w:type="dxa"/>
          <w:right w:w="0" w:type="dxa"/>
        </w:tblCellMar>
        <w:tblLook w:val="04A0" w:firstRow="1" w:lastRow="0" w:firstColumn="1" w:lastColumn="0" w:noHBand="0" w:noVBand="1"/>
      </w:tblPr>
      <w:tblGrid>
        <w:gridCol w:w="376"/>
        <w:gridCol w:w="30"/>
        <w:gridCol w:w="8666"/>
      </w:tblGrid>
      <w:tr w:rsidR="00871026" w:rsidTr="00871026">
        <w:trPr>
          <w:tblHeader/>
          <w:tblCellSpacing w:w="12" w:type="dxa"/>
        </w:trPr>
        <w:tc>
          <w:tcPr>
            <w:tcW w:w="0" w:type="auto"/>
            <w:hideMark/>
          </w:tcPr>
          <w:p w:rsidR="00871026" w:rsidRDefault="00871026">
            <w:pPr>
              <w:jc w:val="right"/>
            </w:pPr>
            <w:r>
              <w:t>I.1)</w:t>
            </w:r>
          </w:p>
        </w:tc>
        <w:tc>
          <w:tcPr>
            <w:tcW w:w="0" w:type="auto"/>
            <w:vAlign w:val="center"/>
            <w:hideMark/>
          </w:tcPr>
          <w:p w:rsidR="00871026" w:rsidRDefault="00871026">
            <w:pPr>
              <w:jc w:val="right"/>
            </w:pPr>
          </w:p>
        </w:tc>
        <w:tc>
          <w:tcPr>
            <w:tcW w:w="0" w:type="auto"/>
            <w:vAlign w:val="center"/>
            <w:hideMark/>
          </w:tcPr>
          <w:p w:rsidR="00871026" w:rsidRDefault="00871026">
            <w:r>
              <w:t>NOM ET ADRESSES</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Grand Besançon Métropole, BESANCON, F, Courriel : </w:t>
            </w:r>
            <w:hyperlink r:id="rId4" w:history="1">
              <w:r>
                <w:rPr>
                  <w:rStyle w:val="Lienhypertexte"/>
                </w:rPr>
                <w:t>mobilites@grandbesancon.fr</w:t>
              </w:r>
            </w:hyperlink>
            <w:r>
              <w:t xml:space="preserve">, Code NUTS : FRC21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rPr>
                <w:b/>
                <w:bCs/>
              </w:rPr>
              <w:t xml:space="preserve">Adresse(s) internet </w:t>
            </w:r>
            <w:proofErr w:type="gramStart"/>
            <w:r>
              <w:rPr>
                <w:b/>
                <w:bCs/>
              </w:rPr>
              <w:t>:</w:t>
            </w:r>
            <w:proofErr w:type="gramEnd"/>
            <w:r>
              <w:br/>
              <w:t xml:space="preserve">Adresse principale : </w:t>
            </w:r>
            <w:hyperlink r:id="rId5" w:tgtFrame="_blank" w:history="1">
              <w:r>
                <w:rPr>
                  <w:rStyle w:val="Lienhypertexte"/>
                </w:rPr>
                <w:t>http://www.grandbesancon.fr/</w:t>
              </w:r>
            </w:hyperlink>
            <w:r>
              <w:br/>
              <w:t xml:space="preserve">Adresse du profil acheteur : </w:t>
            </w:r>
            <w:hyperlink r:id="rId6" w:tgtFrame="_blank" w:history="1">
              <w:r>
                <w:rPr>
                  <w:rStyle w:val="Lienhypertexte"/>
                </w:rPr>
                <w:t>http://www.marches-securises.fr</w:t>
              </w:r>
            </w:hyperlink>
            <w:r>
              <w:t xml:space="preserve">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tblCellSpacing w:w="12" w:type="dxa"/>
        </w:trPr>
        <w:tc>
          <w:tcPr>
            <w:tcW w:w="0" w:type="auto"/>
            <w:hideMark/>
          </w:tcPr>
          <w:p w:rsidR="00871026" w:rsidRDefault="00871026">
            <w:pPr>
              <w:jc w:val="right"/>
            </w:pPr>
            <w:r>
              <w:t>I.3)</w:t>
            </w:r>
          </w:p>
        </w:tc>
        <w:tc>
          <w:tcPr>
            <w:tcW w:w="0" w:type="auto"/>
            <w:vAlign w:val="center"/>
            <w:hideMark/>
          </w:tcPr>
          <w:p w:rsidR="00871026" w:rsidRDefault="00871026">
            <w:pPr>
              <w:jc w:val="right"/>
            </w:pPr>
          </w:p>
        </w:tc>
        <w:tc>
          <w:tcPr>
            <w:tcW w:w="0" w:type="auto"/>
            <w:vAlign w:val="center"/>
            <w:hideMark/>
          </w:tcPr>
          <w:p w:rsidR="00871026" w:rsidRDefault="00871026">
            <w:r>
              <w:t>COMMUNICATION</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Les documents du marché sont disponibles gratuitement en accès direct non restreint et complet, à l'adresse : </w:t>
            </w:r>
            <w:hyperlink r:id="rId7" w:tgtFrame="_blank" w:history="1">
              <w:r>
                <w:rPr>
                  <w:rStyle w:val="Lienhypertexte"/>
                </w:rPr>
                <w:t>http://www.marches-securises.fr</w:t>
              </w:r>
            </w:hyperlink>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rPr>
                <w:b/>
                <w:bCs/>
              </w:rPr>
              <w:t xml:space="preserve">Adresse à laquelle des informations complémentaires peuvent être obtenues </w:t>
            </w:r>
            <w:proofErr w:type="gramStart"/>
            <w:r>
              <w:rPr>
                <w:b/>
                <w:bCs/>
              </w:rPr>
              <w:t>:</w:t>
            </w:r>
            <w:proofErr w:type="gramEnd"/>
            <w:r>
              <w:br/>
              <w:t xml:space="preserve">le ou les point(s) de contact susmentionné(s)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rPr>
                <w:b/>
                <w:bCs/>
              </w:rPr>
              <w:t xml:space="preserve">Les candidatures ou, le cas échéant, les offres doivent être envoyées : </w:t>
            </w:r>
            <w:r>
              <w:br/>
              <w:t xml:space="preserve">par voie électronique à l'adresse : </w:t>
            </w:r>
            <w:hyperlink r:id="rId8" w:tgtFrame="_blank" w:history="1">
              <w:r>
                <w:rPr>
                  <w:rStyle w:val="Lienhypertexte"/>
                </w:rPr>
                <w:t>https://www.marches-securises.fr</w:t>
              </w:r>
            </w:hyperlink>
            <w:r>
              <w:br/>
              <w:t xml:space="preserve">au(x) point(s) de contact susmentionné(s) </w:t>
            </w:r>
          </w:p>
        </w:tc>
      </w:tr>
      <w:tr w:rsidR="00871026" w:rsidTr="00871026">
        <w:trPr>
          <w:tblCellSpacing w:w="12" w:type="dxa"/>
        </w:trPr>
        <w:tc>
          <w:tcPr>
            <w:tcW w:w="0" w:type="auto"/>
            <w:hideMark/>
          </w:tcPr>
          <w:p w:rsidR="00871026" w:rsidRDefault="00871026">
            <w:pPr>
              <w:jc w:val="right"/>
            </w:pPr>
            <w:r>
              <w:t>I.4)</w:t>
            </w:r>
          </w:p>
        </w:tc>
        <w:tc>
          <w:tcPr>
            <w:tcW w:w="0" w:type="auto"/>
            <w:vAlign w:val="center"/>
            <w:hideMark/>
          </w:tcPr>
          <w:p w:rsidR="00871026" w:rsidRDefault="00871026">
            <w:pPr>
              <w:jc w:val="right"/>
            </w:pPr>
          </w:p>
        </w:tc>
        <w:tc>
          <w:tcPr>
            <w:tcW w:w="0" w:type="auto"/>
            <w:vAlign w:val="center"/>
            <w:hideMark/>
          </w:tcPr>
          <w:p w:rsidR="00871026" w:rsidRDefault="00871026">
            <w:r>
              <w:t>TYPE DE POUVOIR ADJUDICATEUR</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tblCellSpacing w:w="12" w:type="dxa"/>
        </w:trPr>
        <w:tc>
          <w:tcPr>
            <w:tcW w:w="0" w:type="auto"/>
            <w:hideMark/>
          </w:tcPr>
          <w:p w:rsidR="00871026" w:rsidRDefault="00871026">
            <w:pPr>
              <w:jc w:val="right"/>
            </w:pPr>
            <w:r>
              <w:t>I.5)</w:t>
            </w:r>
          </w:p>
        </w:tc>
        <w:tc>
          <w:tcPr>
            <w:tcW w:w="0" w:type="auto"/>
            <w:vAlign w:val="center"/>
            <w:hideMark/>
          </w:tcPr>
          <w:p w:rsidR="00871026" w:rsidRDefault="00871026">
            <w:pPr>
              <w:jc w:val="right"/>
            </w:pPr>
          </w:p>
        </w:tc>
        <w:tc>
          <w:tcPr>
            <w:tcW w:w="0" w:type="auto"/>
            <w:vAlign w:val="center"/>
            <w:hideMark/>
          </w:tcPr>
          <w:p w:rsidR="00871026" w:rsidRDefault="00871026">
            <w:r>
              <w:t>ACTIVITÉ PRINCIPALE</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tblCellSpacing w:w="12" w:type="dxa"/>
        </w:trPr>
        <w:tc>
          <w:tcPr>
            <w:tcW w:w="0" w:type="auto"/>
            <w:hideMark/>
          </w:tcPr>
          <w:p w:rsidR="00871026" w:rsidRDefault="00871026">
            <w:pPr>
              <w:jc w:val="right"/>
            </w:pPr>
            <w:r>
              <w:t>I.6)</w:t>
            </w:r>
          </w:p>
        </w:tc>
        <w:tc>
          <w:tcPr>
            <w:tcW w:w="0" w:type="auto"/>
            <w:vAlign w:val="center"/>
            <w:hideMark/>
          </w:tcPr>
          <w:p w:rsidR="00871026" w:rsidRDefault="00871026">
            <w:pPr>
              <w:jc w:val="right"/>
            </w:pPr>
          </w:p>
        </w:tc>
        <w:tc>
          <w:tcPr>
            <w:tcW w:w="0" w:type="auto"/>
            <w:vAlign w:val="center"/>
            <w:hideMark/>
          </w:tcPr>
          <w:p w:rsidR="00871026" w:rsidRDefault="00871026">
            <w:r>
              <w:t>ACTIVITÉ PRINCIPALE</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Services de chemin de fer urbain, de tramway, de trolleybus ou d'autobus</w:t>
            </w:r>
          </w:p>
        </w:tc>
      </w:tr>
    </w:tbl>
    <w:p w:rsidR="00871026" w:rsidRDefault="00871026" w:rsidP="00871026">
      <w:pPr>
        <w:pStyle w:val="titresection"/>
      </w:pPr>
      <w:r>
        <w:t>Section II : Objet</w:t>
      </w:r>
    </w:p>
    <w:tbl>
      <w:tblPr>
        <w:tblW w:w="5000" w:type="pct"/>
        <w:tblCellSpacing w:w="12" w:type="dxa"/>
        <w:tblCellMar>
          <w:left w:w="0" w:type="dxa"/>
          <w:right w:w="0" w:type="dxa"/>
        </w:tblCellMar>
        <w:tblLook w:val="04A0" w:firstRow="1" w:lastRow="0" w:firstColumn="1" w:lastColumn="0" w:noHBand="0" w:noVBand="1"/>
      </w:tblPr>
      <w:tblGrid>
        <w:gridCol w:w="604"/>
        <w:gridCol w:w="32"/>
        <w:gridCol w:w="8400"/>
        <w:gridCol w:w="36"/>
      </w:tblGrid>
      <w:tr w:rsidR="00871026" w:rsidTr="00871026">
        <w:trPr>
          <w:gridAfter w:val="1"/>
          <w:tblHeader/>
          <w:tblCellSpacing w:w="12" w:type="dxa"/>
        </w:trPr>
        <w:tc>
          <w:tcPr>
            <w:tcW w:w="0" w:type="auto"/>
            <w:hideMark/>
          </w:tcPr>
          <w:p w:rsidR="00871026" w:rsidRDefault="00871026">
            <w:pPr>
              <w:jc w:val="right"/>
            </w:pPr>
            <w:r>
              <w:t>II.1)</w:t>
            </w:r>
          </w:p>
        </w:tc>
        <w:tc>
          <w:tcPr>
            <w:tcW w:w="0" w:type="auto"/>
            <w:vAlign w:val="center"/>
            <w:hideMark/>
          </w:tcPr>
          <w:p w:rsidR="00871026" w:rsidRDefault="00871026">
            <w:pPr>
              <w:jc w:val="right"/>
            </w:pPr>
          </w:p>
        </w:tc>
        <w:tc>
          <w:tcPr>
            <w:tcW w:w="0" w:type="auto"/>
            <w:vAlign w:val="center"/>
            <w:hideMark/>
          </w:tcPr>
          <w:p w:rsidR="00871026" w:rsidRDefault="00871026">
            <w:r>
              <w:t>ÉTENDUE DU MARCHÉ</w:t>
            </w:r>
          </w:p>
        </w:tc>
      </w:tr>
      <w:tr w:rsidR="00871026" w:rsidTr="00871026">
        <w:trPr>
          <w:gridAfter w:val="1"/>
          <w:tblCellSpacing w:w="12" w:type="dxa"/>
        </w:trPr>
        <w:tc>
          <w:tcPr>
            <w:tcW w:w="0" w:type="auto"/>
            <w:gridSpan w:val="2"/>
            <w:hideMark/>
          </w:tcPr>
          <w:p w:rsidR="00871026" w:rsidRDefault="00871026">
            <w:pPr>
              <w:jc w:val="right"/>
            </w:pPr>
            <w:r>
              <w:t>II.1.1)</w:t>
            </w:r>
          </w:p>
        </w:tc>
        <w:tc>
          <w:tcPr>
            <w:tcW w:w="0" w:type="auto"/>
            <w:vAlign w:val="center"/>
            <w:hideMark/>
          </w:tcPr>
          <w:p w:rsidR="00871026" w:rsidRDefault="00871026" w:rsidP="009B3E96">
            <w:pPr>
              <w:jc w:val="both"/>
            </w:pPr>
            <w:r>
              <w:rPr>
                <w:rStyle w:val="bold"/>
              </w:rPr>
              <w:t xml:space="preserve">Intitulé : </w:t>
            </w:r>
            <w:r w:rsidRPr="009B3E96">
              <w:rPr>
                <w:b/>
              </w:rPr>
              <w:t>La présente consultation concerne la passation d’un contrat de concession de service public pour la gestion et l’exploitation du service public de transport de voyageurs urbain et des services de mobi</w:t>
            </w:r>
            <w:r w:rsidRPr="009B3E96">
              <w:rPr>
                <w:b/>
              </w:rPr>
              <w:t>lité</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Numéro de référence : </w:t>
            </w:r>
          </w:p>
        </w:tc>
      </w:tr>
      <w:tr w:rsidR="00871026" w:rsidTr="00871026">
        <w:trPr>
          <w:gridAfter w:val="1"/>
          <w:tblCellSpacing w:w="12" w:type="dxa"/>
        </w:trPr>
        <w:tc>
          <w:tcPr>
            <w:tcW w:w="0" w:type="auto"/>
            <w:gridSpan w:val="2"/>
            <w:hideMark/>
          </w:tcPr>
          <w:p w:rsidR="00871026" w:rsidRDefault="00871026">
            <w:pPr>
              <w:jc w:val="right"/>
            </w:pPr>
            <w:r>
              <w:t>II.1.2)</w:t>
            </w:r>
          </w:p>
        </w:tc>
        <w:tc>
          <w:tcPr>
            <w:tcW w:w="0" w:type="auto"/>
            <w:vAlign w:val="center"/>
            <w:hideMark/>
          </w:tcPr>
          <w:p w:rsidR="00871026" w:rsidRDefault="00871026">
            <w:r>
              <w:rPr>
                <w:rStyle w:val="bold"/>
              </w:rPr>
              <w:t xml:space="preserve">Code CPV principal : </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Descripteur principal : 60112000</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Descripteur supplémentaire : </w:t>
            </w:r>
          </w:p>
        </w:tc>
      </w:tr>
      <w:tr w:rsidR="00871026" w:rsidTr="00871026">
        <w:trPr>
          <w:gridAfter w:val="1"/>
          <w:tblCellSpacing w:w="12" w:type="dxa"/>
        </w:trPr>
        <w:tc>
          <w:tcPr>
            <w:tcW w:w="0" w:type="auto"/>
            <w:gridSpan w:val="2"/>
            <w:hideMark/>
          </w:tcPr>
          <w:p w:rsidR="00871026" w:rsidRDefault="00871026">
            <w:pPr>
              <w:jc w:val="right"/>
            </w:pPr>
            <w:r>
              <w:t>II.1.3)</w:t>
            </w:r>
          </w:p>
        </w:tc>
        <w:tc>
          <w:tcPr>
            <w:tcW w:w="0" w:type="auto"/>
            <w:vAlign w:val="center"/>
            <w:hideMark/>
          </w:tcPr>
          <w:p w:rsidR="00871026" w:rsidRDefault="00871026">
            <w:r>
              <w:t>Type de marché</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rPr>
                <w:b/>
                <w:bCs/>
              </w:rPr>
              <w:t>Services</w:t>
            </w:r>
          </w:p>
        </w:tc>
      </w:tr>
      <w:tr w:rsidR="00871026" w:rsidTr="00871026">
        <w:trPr>
          <w:gridAfter w:val="1"/>
          <w:tblCellSpacing w:w="12" w:type="dxa"/>
        </w:trPr>
        <w:tc>
          <w:tcPr>
            <w:tcW w:w="0" w:type="auto"/>
            <w:gridSpan w:val="2"/>
            <w:hideMark/>
          </w:tcPr>
          <w:p w:rsidR="00871026" w:rsidRDefault="00871026">
            <w:pPr>
              <w:jc w:val="right"/>
            </w:pPr>
            <w:r>
              <w:t>II.1.4)</w:t>
            </w:r>
          </w:p>
        </w:tc>
        <w:tc>
          <w:tcPr>
            <w:tcW w:w="0" w:type="auto"/>
            <w:vAlign w:val="center"/>
            <w:hideMark/>
          </w:tcPr>
          <w:p w:rsidR="00871026" w:rsidRDefault="00871026">
            <w:r>
              <w:rPr>
                <w:rStyle w:val="bold"/>
              </w:rPr>
              <w:t xml:space="preserve">Description succincte : </w:t>
            </w:r>
            <w:r w:rsidRPr="00871026">
              <w:rPr>
                <w:b/>
              </w:rPr>
              <w:t>La consultation lancée par Grand Besançon Métropole a pour objet de confier, par un contrat de concession de service public, la gestion et l’exploitation du service public de transport de voyageurs urbain et des services de mobilité du réseau Ginko, en application des articles L. 1411-1 et suivants et R. 1411-1 et suivants du code général des collectivité territoriales, et des articles L. 3111-1 et suivants et R. 3111-1 et suivants du code de la commande publique.</w:t>
            </w:r>
            <w:r>
              <w:t xml:space="preserve"> </w:t>
            </w:r>
          </w:p>
        </w:tc>
      </w:tr>
      <w:tr w:rsidR="00871026" w:rsidTr="00871026">
        <w:trPr>
          <w:gridAfter w:val="1"/>
          <w:tblCellSpacing w:w="12" w:type="dxa"/>
        </w:trPr>
        <w:tc>
          <w:tcPr>
            <w:tcW w:w="0" w:type="auto"/>
            <w:gridSpan w:val="2"/>
            <w:hideMark/>
          </w:tcPr>
          <w:p w:rsidR="00871026" w:rsidRDefault="00871026">
            <w:pPr>
              <w:jc w:val="right"/>
            </w:pPr>
            <w:r>
              <w:t>II.1.5)</w:t>
            </w:r>
          </w:p>
        </w:tc>
        <w:tc>
          <w:tcPr>
            <w:tcW w:w="0" w:type="auto"/>
            <w:vAlign w:val="center"/>
            <w:hideMark/>
          </w:tcPr>
          <w:p w:rsidR="00871026" w:rsidRDefault="00871026">
            <w:r>
              <w:t xml:space="preserve">Valeur totale estimée : </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Valeur hors TVA : </w:t>
            </w:r>
            <w:r w:rsidRPr="00871026">
              <w:rPr>
                <w:b/>
              </w:rPr>
              <w:t>310 000 000  euros</w:t>
            </w:r>
          </w:p>
        </w:tc>
      </w:tr>
      <w:tr w:rsidR="00871026" w:rsidTr="00871026">
        <w:trPr>
          <w:gridAfter w:val="1"/>
          <w:tblCellSpacing w:w="12" w:type="dxa"/>
        </w:trPr>
        <w:tc>
          <w:tcPr>
            <w:tcW w:w="0" w:type="auto"/>
            <w:gridSpan w:val="2"/>
            <w:hideMark/>
          </w:tcPr>
          <w:p w:rsidR="00871026" w:rsidRDefault="00871026">
            <w:pPr>
              <w:jc w:val="right"/>
            </w:pPr>
            <w:r>
              <w:t>II.1.6)</w:t>
            </w:r>
          </w:p>
        </w:tc>
        <w:tc>
          <w:tcPr>
            <w:tcW w:w="0" w:type="auto"/>
            <w:vAlign w:val="center"/>
            <w:hideMark/>
          </w:tcPr>
          <w:p w:rsidR="00871026" w:rsidRDefault="00871026">
            <w:r>
              <w:t xml:space="preserve">Information sur les lots : </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Ce marché est divisé en lots : non</w:t>
            </w:r>
          </w:p>
        </w:tc>
      </w:tr>
      <w:tr w:rsidR="00871026" w:rsidTr="00871026">
        <w:trPr>
          <w:tblCellSpacing w:w="12" w:type="dxa"/>
        </w:trPr>
        <w:tc>
          <w:tcPr>
            <w:tcW w:w="0" w:type="auto"/>
            <w:vAlign w:val="center"/>
            <w:hideMark/>
          </w:tcPr>
          <w:p w:rsidR="00871026" w:rsidRDefault="00871026">
            <w:pPr>
              <w:rPr>
                <w:sz w:val="20"/>
                <w:szCs w:val="20"/>
              </w:rPr>
            </w:pPr>
          </w:p>
        </w:tc>
        <w:tc>
          <w:tcPr>
            <w:tcW w:w="0" w:type="auto"/>
            <w:gridSpan w:val="3"/>
            <w:vAlign w:val="center"/>
            <w:hideMark/>
          </w:tcPr>
          <w:p w:rsidR="00871026" w:rsidRDefault="00871026">
            <w:r>
              <w:t>Mots descripteurs : Transport</w:t>
            </w:r>
          </w:p>
        </w:tc>
      </w:tr>
    </w:tbl>
    <w:p w:rsidR="00871026" w:rsidRDefault="00871026" w:rsidP="00871026">
      <w:pPr>
        <w:rPr>
          <w:vanish/>
        </w:rPr>
      </w:pPr>
    </w:p>
    <w:tbl>
      <w:tblPr>
        <w:tblW w:w="5000" w:type="pct"/>
        <w:tblCellSpacing w:w="12" w:type="dxa"/>
        <w:tblCellMar>
          <w:left w:w="0" w:type="dxa"/>
          <w:right w:w="0" w:type="dxa"/>
        </w:tblCellMar>
        <w:tblLook w:val="04A0" w:firstRow="1" w:lastRow="0" w:firstColumn="1" w:lastColumn="0" w:noHBand="0" w:noVBand="1"/>
      </w:tblPr>
      <w:tblGrid>
        <w:gridCol w:w="722"/>
        <w:gridCol w:w="34"/>
        <w:gridCol w:w="8220"/>
        <w:gridCol w:w="30"/>
        <w:gridCol w:w="30"/>
        <w:gridCol w:w="36"/>
      </w:tblGrid>
      <w:tr w:rsidR="00871026" w:rsidTr="00871026">
        <w:trPr>
          <w:gridAfter w:val="3"/>
          <w:tblHeader/>
          <w:tblCellSpacing w:w="12" w:type="dxa"/>
        </w:trPr>
        <w:tc>
          <w:tcPr>
            <w:tcW w:w="0" w:type="auto"/>
            <w:hideMark/>
          </w:tcPr>
          <w:p w:rsidR="00871026" w:rsidRDefault="00871026">
            <w:pPr>
              <w:jc w:val="right"/>
            </w:pPr>
            <w:r>
              <w:t>II.2)</w:t>
            </w:r>
          </w:p>
        </w:tc>
        <w:tc>
          <w:tcPr>
            <w:tcW w:w="0" w:type="auto"/>
            <w:vAlign w:val="center"/>
            <w:hideMark/>
          </w:tcPr>
          <w:p w:rsidR="00871026" w:rsidRDefault="00871026">
            <w:pPr>
              <w:jc w:val="right"/>
            </w:pPr>
          </w:p>
        </w:tc>
        <w:tc>
          <w:tcPr>
            <w:tcW w:w="0" w:type="auto"/>
            <w:vAlign w:val="center"/>
            <w:hideMark/>
          </w:tcPr>
          <w:p w:rsidR="00871026" w:rsidRDefault="00871026">
            <w:r>
              <w:t>DESCRIPTION</w:t>
            </w:r>
          </w:p>
        </w:tc>
      </w:tr>
      <w:tr w:rsidR="00871026" w:rsidTr="00871026">
        <w:trPr>
          <w:gridAfter w:val="3"/>
          <w:tblCellSpacing w:w="12" w:type="dxa"/>
        </w:trPr>
        <w:tc>
          <w:tcPr>
            <w:tcW w:w="0" w:type="auto"/>
            <w:gridSpan w:val="2"/>
            <w:hideMark/>
          </w:tcPr>
          <w:p w:rsidR="00871026" w:rsidRDefault="00871026">
            <w:pPr>
              <w:jc w:val="right"/>
            </w:pPr>
            <w:r>
              <w:t>II.2.1)</w:t>
            </w:r>
          </w:p>
        </w:tc>
        <w:tc>
          <w:tcPr>
            <w:tcW w:w="0" w:type="auto"/>
            <w:vAlign w:val="center"/>
            <w:hideMark/>
          </w:tcPr>
          <w:p w:rsidR="00871026" w:rsidRDefault="00871026">
            <w:r>
              <w:rPr>
                <w:rStyle w:val="bold"/>
              </w:rPr>
              <w:t xml:space="preserve">Intitulé : </w:t>
            </w:r>
          </w:p>
        </w:tc>
      </w:tr>
      <w:tr w:rsidR="00871026" w:rsidTr="00871026">
        <w:trPr>
          <w:gridAfter w:val="3"/>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Lot nº : </w:t>
            </w:r>
          </w:p>
        </w:tc>
      </w:tr>
      <w:tr w:rsidR="00871026" w:rsidTr="00871026">
        <w:trPr>
          <w:gridAfter w:val="3"/>
          <w:tblCellSpacing w:w="12" w:type="dxa"/>
        </w:trPr>
        <w:tc>
          <w:tcPr>
            <w:tcW w:w="0" w:type="auto"/>
            <w:gridSpan w:val="2"/>
            <w:hideMark/>
          </w:tcPr>
          <w:p w:rsidR="00871026" w:rsidRDefault="00871026">
            <w:pPr>
              <w:jc w:val="right"/>
            </w:pPr>
            <w:r>
              <w:t>II.2.2)</w:t>
            </w:r>
          </w:p>
        </w:tc>
        <w:tc>
          <w:tcPr>
            <w:tcW w:w="0" w:type="auto"/>
            <w:vAlign w:val="center"/>
            <w:hideMark/>
          </w:tcPr>
          <w:p w:rsidR="00871026" w:rsidRDefault="00871026">
            <w:r>
              <w:t>Code(s) CPV additionnel(s)</w:t>
            </w:r>
          </w:p>
        </w:tc>
      </w:tr>
      <w:tr w:rsidR="00871026" w:rsidTr="00871026">
        <w:trPr>
          <w:gridAfter w:val="3"/>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Code CPV principal : 60112000</w:t>
            </w:r>
          </w:p>
        </w:tc>
      </w:tr>
      <w:tr w:rsidR="00871026" w:rsidTr="00871026">
        <w:trPr>
          <w:gridAfter w:val="3"/>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Descripteur supplémentaire : </w:t>
            </w:r>
          </w:p>
        </w:tc>
      </w:tr>
      <w:tr w:rsidR="00871026" w:rsidTr="00871026">
        <w:trPr>
          <w:gridAfter w:val="3"/>
          <w:tblCellSpacing w:w="12" w:type="dxa"/>
        </w:trPr>
        <w:tc>
          <w:tcPr>
            <w:tcW w:w="0" w:type="auto"/>
            <w:gridSpan w:val="2"/>
            <w:hideMark/>
          </w:tcPr>
          <w:p w:rsidR="00871026" w:rsidRDefault="00871026">
            <w:pPr>
              <w:jc w:val="right"/>
            </w:pPr>
            <w:r>
              <w:t>II.2.3)</w:t>
            </w:r>
          </w:p>
        </w:tc>
        <w:tc>
          <w:tcPr>
            <w:tcW w:w="0" w:type="auto"/>
            <w:vAlign w:val="center"/>
            <w:hideMark/>
          </w:tcPr>
          <w:p w:rsidR="00871026" w:rsidRDefault="00871026">
            <w:r>
              <w:t>Lieu d'exécution</w:t>
            </w:r>
          </w:p>
        </w:tc>
      </w:tr>
      <w:tr w:rsidR="00871026" w:rsidTr="00871026">
        <w:trPr>
          <w:gridAfter w:val="3"/>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Code NUTS : FRC21</w:t>
            </w:r>
          </w:p>
        </w:tc>
      </w:tr>
      <w:tr w:rsidR="00871026" w:rsidTr="00871026">
        <w:trPr>
          <w:gridAfter w:val="3"/>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Lieu principal d'exécution : </w:t>
            </w:r>
          </w:p>
        </w:tc>
      </w:tr>
      <w:tr w:rsidR="00871026" w:rsidTr="00871026">
        <w:trPr>
          <w:gridAfter w:val="3"/>
          <w:tblCellSpacing w:w="12" w:type="dxa"/>
        </w:trPr>
        <w:tc>
          <w:tcPr>
            <w:tcW w:w="0" w:type="auto"/>
            <w:gridSpan w:val="2"/>
            <w:hideMark/>
          </w:tcPr>
          <w:p w:rsidR="00871026" w:rsidRDefault="00871026">
            <w:pPr>
              <w:jc w:val="right"/>
            </w:pPr>
            <w:r>
              <w:t>II.2.4)</w:t>
            </w:r>
          </w:p>
        </w:tc>
        <w:tc>
          <w:tcPr>
            <w:tcW w:w="0" w:type="auto"/>
            <w:vAlign w:val="center"/>
            <w:hideMark/>
          </w:tcPr>
          <w:p w:rsidR="009B3E96" w:rsidRDefault="00871026" w:rsidP="009B3E96">
            <w:pPr>
              <w:jc w:val="both"/>
              <w:rPr>
                <w:rStyle w:val="bold"/>
              </w:rPr>
            </w:pPr>
            <w:r>
              <w:rPr>
                <w:rStyle w:val="bold"/>
              </w:rPr>
              <w:t>Description des prestations :</w:t>
            </w:r>
          </w:p>
          <w:p w:rsidR="00871026" w:rsidRDefault="00871026" w:rsidP="009B3E96">
            <w:pPr>
              <w:jc w:val="both"/>
            </w:pPr>
            <w:r w:rsidRPr="00871026">
              <w:rPr>
                <w:b/>
              </w:rPr>
              <w:t>La consultation lancée par Grand Besançon Métropole a pour objet de confier, par un contrat de concession de service public, la gestion et l’exploitation du service public de transport de voyageurs urbain et des services de mobilité du réseau Ginko, en application des articles L. 1411-1 et suivants et R. 1411-1 et suivants du code général des collectivité territoriales, et des articles L. 3111-1 et suivants et R. 3111-1 et suivants du code de la commande publique. Dans le cadre de la concession de service public, le concessionnaire assure l’exploitation technique et commerciale : - des lignes de tramway et lianes ; - des lignes urbaines et complémentaires ; - du transport à la demande ; - des parkings relais ; - des pôles d’échange ; - de l’agence Ginko ; - le conseil en mobilité ; - de la location longue durée de vélos ; - des vélos en libre-service ; - des consignes vélos. Le concessionnaire a également pour mission : - le conseil en mobilité ; - l’information voyageurs et la communication ; - le contrôle des titres ; - la gestion commerciale ; - la collecte des recettes.</w:t>
            </w:r>
            <w:r>
              <w:t xml:space="preserve"> </w:t>
            </w:r>
          </w:p>
        </w:tc>
      </w:tr>
      <w:tr w:rsidR="00871026" w:rsidTr="00871026">
        <w:trPr>
          <w:gridAfter w:val="3"/>
          <w:tblCellSpacing w:w="12" w:type="dxa"/>
        </w:trPr>
        <w:tc>
          <w:tcPr>
            <w:tcW w:w="0" w:type="auto"/>
            <w:gridSpan w:val="2"/>
            <w:hideMark/>
          </w:tcPr>
          <w:p w:rsidR="00871026" w:rsidRDefault="00871026">
            <w:pPr>
              <w:jc w:val="right"/>
            </w:pPr>
            <w:r>
              <w:t>II.2.5)</w:t>
            </w:r>
          </w:p>
        </w:tc>
        <w:tc>
          <w:tcPr>
            <w:tcW w:w="0" w:type="auto"/>
            <w:vAlign w:val="center"/>
            <w:hideMark/>
          </w:tcPr>
          <w:p w:rsidR="00871026" w:rsidRDefault="00871026">
            <w:r>
              <w:t>Critères d'attribution</w:t>
            </w:r>
          </w:p>
        </w:tc>
      </w:tr>
      <w:tr w:rsidR="00871026" w:rsidTr="00871026">
        <w:trPr>
          <w:gridAfter w:val="1"/>
          <w:tblCellSpacing w:w="12" w:type="dxa"/>
        </w:trPr>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c>
          <w:tcPr>
            <w:tcW w:w="0" w:type="auto"/>
            <w:vAlign w:val="center"/>
            <w:hideMark/>
          </w:tcPr>
          <w:p w:rsidR="00871026" w:rsidRDefault="00871026">
            <w:r>
              <w:t>La concession est attribuée sur la base des</w:t>
            </w:r>
            <w:r w:rsidR="009B3E96">
              <w:t xml:space="preserve"> </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critères énoncés dans les documents du marché</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gridSpan w:val="2"/>
            <w:hideMark/>
          </w:tcPr>
          <w:p w:rsidR="00871026" w:rsidRDefault="00871026">
            <w:pPr>
              <w:jc w:val="right"/>
            </w:pPr>
            <w:r>
              <w:t>II.2.6)</w:t>
            </w:r>
          </w:p>
        </w:tc>
        <w:tc>
          <w:tcPr>
            <w:tcW w:w="0" w:type="auto"/>
            <w:vAlign w:val="center"/>
            <w:hideMark/>
          </w:tcPr>
          <w:p w:rsidR="00871026" w:rsidRDefault="00871026">
            <w:r>
              <w:t>Valeur estimée</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Valeur hors TVA </w:t>
            </w:r>
            <w:proofErr w:type="gramStart"/>
            <w:r>
              <w:t>:  euros</w:t>
            </w:r>
            <w:proofErr w:type="gramEnd"/>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gridSpan w:val="2"/>
            <w:hideMark/>
          </w:tcPr>
          <w:p w:rsidR="00871026" w:rsidRDefault="00871026">
            <w:pPr>
              <w:jc w:val="right"/>
            </w:pPr>
            <w:r>
              <w:t>II.2.7)</w:t>
            </w:r>
          </w:p>
        </w:tc>
        <w:tc>
          <w:tcPr>
            <w:tcW w:w="0" w:type="auto"/>
            <w:vAlign w:val="center"/>
            <w:hideMark/>
          </w:tcPr>
          <w:p w:rsidR="00871026" w:rsidRDefault="00871026">
            <w:r>
              <w:t>Durée de la concession</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Durée en mois : </w:t>
            </w:r>
            <w:r w:rsidRPr="00813DF1">
              <w:rPr>
                <w:b/>
              </w:rPr>
              <w:t>84</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gridSpan w:val="2"/>
            <w:hideMark/>
          </w:tcPr>
          <w:p w:rsidR="00871026" w:rsidRDefault="00871026">
            <w:pPr>
              <w:jc w:val="right"/>
            </w:pPr>
            <w:r>
              <w:t>II.2.13)</w:t>
            </w:r>
          </w:p>
        </w:tc>
        <w:tc>
          <w:tcPr>
            <w:tcW w:w="0" w:type="auto"/>
            <w:vAlign w:val="center"/>
            <w:hideMark/>
          </w:tcPr>
          <w:p w:rsidR="00871026" w:rsidRDefault="00871026">
            <w:r>
              <w:t>Information sur les fonds de l'Union européenne</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Le marché s'inscrit dans un projet/programme financé par des fonds de l'Union européenne : non </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Identification du projet : </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gridAfter w:val="1"/>
          <w:tblCellSpacing w:w="12" w:type="dxa"/>
        </w:trPr>
        <w:tc>
          <w:tcPr>
            <w:tcW w:w="0" w:type="auto"/>
            <w:gridSpan w:val="2"/>
            <w:hideMark/>
          </w:tcPr>
          <w:p w:rsidR="00871026" w:rsidRDefault="00871026">
            <w:pPr>
              <w:jc w:val="right"/>
            </w:pPr>
            <w:r>
              <w:t>II.2.14)</w:t>
            </w:r>
          </w:p>
        </w:tc>
        <w:tc>
          <w:tcPr>
            <w:tcW w:w="0" w:type="auto"/>
            <w:vAlign w:val="center"/>
            <w:hideMark/>
          </w:tcPr>
          <w:p w:rsidR="00871026" w:rsidRDefault="00871026">
            <w:r>
              <w:rPr>
                <w:rStyle w:val="bold"/>
              </w:rPr>
              <w:t xml:space="preserve">Informations complémentaires : </w:t>
            </w:r>
            <w:r>
              <w:t xml:space="preserve">La présente procédure est organisée conformément aux dispositions des articles L. 3120-1 et suivants du code de la commande publique. </w:t>
            </w:r>
            <w:r w:rsidRPr="00871026">
              <w:rPr>
                <w:b/>
              </w:rPr>
              <w:t>Grand Besançon Métropole recourt à une procédure restreinte, comprenant une remise successive, et non simultanée, des candidatures et des offres des candidats</w:t>
            </w:r>
            <w:r>
              <w:t xml:space="preserve">. </w:t>
            </w:r>
          </w:p>
        </w:tc>
        <w:tc>
          <w:tcPr>
            <w:tcW w:w="0" w:type="auto"/>
            <w:vAlign w:val="center"/>
            <w:hideMark/>
          </w:tcPr>
          <w:p w:rsidR="00871026" w:rsidRDefault="00871026">
            <w:pPr>
              <w:rPr>
                <w:sz w:val="20"/>
                <w:szCs w:val="20"/>
              </w:rPr>
            </w:pPr>
          </w:p>
        </w:tc>
        <w:tc>
          <w:tcPr>
            <w:tcW w:w="0" w:type="auto"/>
            <w:vAlign w:val="center"/>
            <w:hideMark/>
          </w:tcPr>
          <w:p w:rsidR="00871026" w:rsidRDefault="00871026">
            <w:pPr>
              <w:rPr>
                <w:sz w:val="20"/>
                <w:szCs w:val="20"/>
              </w:rPr>
            </w:pPr>
          </w:p>
        </w:tc>
      </w:tr>
      <w:tr w:rsidR="00871026" w:rsidTr="00871026">
        <w:trPr>
          <w:tblCellSpacing w:w="12" w:type="dxa"/>
        </w:trPr>
        <w:tc>
          <w:tcPr>
            <w:tcW w:w="0" w:type="auto"/>
            <w:vAlign w:val="center"/>
            <w:hideMark/>
          </w:tcPr>
          <w:p w:rsidR="00871026" w:rsidRDefault="00871026"/>
        </w:tc>
        <w:tc>
          <w:tcPr>
            <w:tcW w:w="0" w:type="auto"/>
            <w:gridSpan w:val="5"/>
            <w:vAlign w:val="center"/>
            <w:hideMark/>
          </w:tcPr>
          <w:p w:rsidR="00871026" w:rsidRDefault="00871026">
            <w:r>
              <w:t>Mots descripteurs : Transport</w:t>
            </w:r>
          </w:p>
          <w:p w:rsidR="00813DF1" w:rsidRDefault="00813DF1"/>
        </w:tc>
      </w:tr>
    </w:tbl>
    <w:p w:rsidR="00871026" w:rsidRDefault="00871026" w:rsidP="00871026">
      <w:pPr>
        <w:pStyle w:val="titresection"/>
      </w:pPr>
      <w:r>
        <w:lastRenderedPageBreak/>
        <w:t>Section III : Renseignements d'ordre juridique, économique, financier et technique</w:t>
      </w:r>
    </w:p>
    <w:tbl>
      <w:tblPr>
        <w:tblW w:w="5000" w:type="pct"/>
        <w:tblCellSpacing w:w="12" w:type="dxa"/>
        <w:tblCellMar>
          <w:left w:w="0" w:type="dxa"/>
          <w:right w:w="0" w:type="dxa"/>
        </w:tblCellMar>
        <w:tblLook w:val="04A0" w:firstRow="1" w:lastRow="0" w:firstColumn="1" w:lastColumn="0" w:noHBand="0" w:noVBand="1"/>
      </w:tblPr>
      <w:tblGrid>
        <w:gridCol w:w="684"/>
        <w:gridCol w:w="32"/>
        <w:gridCol w:w="8314"/>
        <w:gridCol w:w="42"/>
      </w:tblGrid>
      <w:tr w:rsidR="00871026" w:rsidTr="00871026">
        <w:trPr>
          <w:gridAfter w:val="1"/>
          <w:tblHeader/>
          <w:tblCellSpacing w:w="12" w:type="dxa"/>
        </w:trPr>
        <w:tc>
          <w:tcPr>
            <w:tcW w:w="0" w:type="auto"/>
            <w:hideMark/>
          </w:tcPr>
          <w:p w:rsidR="00871026" w:rsidRDefault="00871026">
            <w:pPr>
              <w:jc w:val="right"/>
            </w:pPr>
            <w:r>
              <w:t>III.1)</w:t>
            </w:r>
          </w:p>
        </w:tc>
        <w:tc>
          <w:tcPr>
            <w:tcW w:w="0" w:type="auto"/>
            <w:vAlign w:val="center"/>
            <w:hideMark/>
          </w:tcPr>
          <w:p w:rsidR="00871026" w:rsidRDefault="00871026">
            <w:pPr>
              <w:jc w:val="right"/>
            </w:pPr>
          </w:p>
        </w:tc>
        <w:tc>
          <w:tcPr>
            <w:tcW w:w="0" w:type="auto"/>
            <w:vAlign w:val="center"/>
            <w:hideMark/>
          </w:tcPr>
          <w:p w:rsidR="00871026" w:rsidRDefault="00871026">
            <w:r>
              <w:t>CONDITIONS DE PARTICIPATION</w:t>
            </w:r>
          </w:p>
        </w:tc>
      </w:tr>
      <w:tr w:rsidR="00871026" w:rsidTr="00871026">
        <w:trPr>
          <w:gridAfter w:val="1"/>
          <w:tblCellSpacing w:w="12" w:type="dxa"/>
        </w:trPr>
        <w:tc>
          <w:tcPr>
            <w:tcW w:w="0" w:type="auto"/>
            <w:gridSpan w:val="2"/>
            <w:hideMark/>
          </w:tcPr>
          <w:p w:rsidR="00871026" w:rsidRDefault="00871026">
            <w:pPr>
              <w:jc w:val="right"/>
            </w:pPr>
            <w:r>
              <w:t>III.1.1)</w:t>
            </w:r>
          </w:p>
        </w:tc>
        <w:tc>
          <w:tcPr>
            <w:tcW w:w="0" w:type="auto"/>
            <w:vAlign w:val="center"/>
            <w:hideMark/>
          </w:tcPr>
          <w:p w:rsidR="00871026" w:rsidRDefault="00871026">
            <w:r>
              <w:t>Habilitation à exercer l'activité professionnelle, y compris exigences relatives à l'inscription au registre du commerce ou de la profession</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Liste et description succincte des conditions, indication des informations et documents requis : </w:t>
            </w:r>
            <w:r w:rsidRPr="00813DF1">
              <w:rPr>
                <w:b/>
              </w:rPr>
              <w:t>La liste des documents à produire est mentionnée dans le règlement de la conclusion relatif à la phase candidature.</w:t>
            </w:r>
          </w:p>
        </w:tc>
      </w:tr>
      <w:tr w:rsidR="00871026" w:rsidTr="00871026">
        <w:trPr>
          <w:gridAfter w:val="1"/>
          <w:tblCellSpacing w:w="12" w:type="dxa"/>
        </w:trPr>
        <w:tc>
          <w:tcPr>
            <w:tcW w:w="0" w:type="auto"/>
            <w:gridSpan w:val="2"/>
            <w:hideMark/>
          </w:tcPr>
          <w:p w:rsidR="00871026" w:rsidRDefault="00871026">
            <w:pPr>
              <w:jc w:val="right"/>
            </w:pPr>
            <w:r>
              <w:t>III.1.2)</w:t>
            </w:r>
          </w:p>
        </w:tc>
        <w:tc>
          <w:tcPr>
            <w:tcW w:w="0" w:type="auto"/>
            <w:vAlign w:val="center"/>
            <w:hideMark/>
          </w:tcPr>
          <w:p w:rsidR="00871026" w:rsidRDefault="00871026">
            <w:r>
              <w:t>Capacité économique et financière</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Liste et description succincte des critères de sélection, indication des informations et documents requis : </w:t>
            </w:r>
            <w:r w:rsidRPr="00813DF1">
              <w:rPr>
                <w:b/>
              </w:rPr>
              <w:t>La liste des documents à produire est mentionnée dans le règlement de la conclusion relatif à la phase candidature.</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Niveau(x) spécifique(s) minimal/minimaux exigé(s) : </w:t>
            </w:r>
          </w:p>
        </w:tc>
      </w:tr>
      <w:tr w:rsidR="00871026" w:rsidTr="00871026">
        <w:trPr>
          <w:gridAfter w:val="1"/>
          <w:tblCellSpacing w:w="12" w:type="dxa"/>
        </w:trPr>
        <w:tc>
          <w:tcPr>
            <w:tcW w:w="0" w:type="auto"/>
            <w:gridSpan w:val="2"/>
            <w:hideMark/>
          </w:tcPr>
          <w:p w:rsidR="00871026" w:rsidRDefault="00871026">
            <w:pPr>
              <w:jc w:val="right"/>
            </w:pPr>
            <w:r>
              <w:t>III.1.3)</w:t>
            </w:r>
          </w:p>
        </w:tc>
        <w:tc>
          <w:tcPr>
            <w:tcW w:w="0" w:type="auto"/>
            <w:vAlign w:val="center"/>
            <w:hideMark/>
          </w:tcPr>
          <w:p w:rsidR="00871026" w:rsidRDefault="00871026">
            <w:r>
              <w:t>Capacité technique et professionnelle</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Liste et description succincte des critères de sélection, indication des informations et documents requis : </w:t>
            </w:r>
            <w:r w:rsidRPr="00813DF1">
              <w:rPr>
                <w:b/>
              </w:rPr>
              <w:t>La liste des documents à produire est mentionnée dans le règlement de la conclusion relatif à la phase candidature.</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Niveau(x) spécifique(s) minimal/minimaux exigé(s) : </w:t>
            </w:r>
          </w:p>
        </w:tc>
      </w:tr>
      <w:tr w:rsidR="00871026" w:rsidTr="00871026">
        <w:trPr>
          <w:gridAfter w:val="1"/>
          <w:tblCellSpacing w:w="12" w:type="dxa"/>
        </w:trPr>
        <w:tc>
          <w:tcPr>
            <w:tcW w:w="0" w:type="auto"/>
            <w:gridSpan w:val="2"/>
            <w:hideMark/>
          </w:tcPr>
          <w:p w:rsidR="00871026" w:rsidRDefault="00871026">
            <w:pPr>
              <w:jc w:val="right"/>
            </w:pPr>
            <w:r>
              <w:t>III.1.5)</w:t>
            </w:r>
          </w:p>
        </w:tc>
        <w:tc>
          <w:tcPr>
            <w:tcW w:w="0" w:type="auto"/>
            <w:vAlign w:val="center"/>
            <w:hideMark/>
          </w:tcPr>
          <w:p w:rsidR="00871026" w:rsidRDefault="00871026">
            <w:r>
              <w:t>Informations sur les concessions réservées</w:t>
            </w:r>
          </w:p>
        </w:tc>
      </w:tr>
      <w:tr w:rsidR="00871026" w:rsidTr="00871026">
        <w:trPr>
          <w:gridAfter w:val="1"/>
          <w:tblCellSpacing w:w="12" w:type="dxa"/>
        </w:trPr>
        <w:tc>
          <w:tcPr>
            <w:tcW w:w="0" w:type="auto"/>
            <w:hideMark/>
          </w:tcPr>
          <w:p w:rsidR="00871026" w:rsidRDefault="00871026">
            <w:pPr>
              <w:jc w:val="right"/>
            </w:pPr>
            <w:r>
              <w:t>III.2)</w:t>
            </w:r>
          </w:p>
        </w:tc>
        <w:tc>
          <w:tcPr>
            <w:tcW w:w="0" w:type="auto"/>
            <w:vAlign w:val="center"/>
            <w:hideMark/>
          </w:tcPr>
          <w:p w:rsidR="00871026" w:rsidRDefault="00871026">
            <w:pPr>
              <w:jc w:val="right"/>
            </w:pPr>
          </w:p>
        </w:tc>
        <w:tc>
          <w:tcPr>
            <w:tcW w:w="0" w:type="auto"/>
            <w:vAlign w:val="center"/>
            <w:hideMark/>
          </w:tcPr>
          <w:p w:rsidR="00871026" w:rsidRDefault="00871026">
            <w:r>
              <w:t>Conditions liées à la concession</w:t>
            </w:r>
          </w:p>
        </w:tc>
      </w:tr>
      <w:tr w:rsidR="00871026" w:rsidTr="00871026">
        <w:trPr>
          <w:gridAfter w:val="1"/>
          <w:tblCellSpacing w:w="12" w:type="dxa"/>
        </w:trPr>
        <w:tc>
          <w:tcPr>
            <w:tcW w:w="0" w:type="auto"/>
            <w:gridSpan w:val="2"/>
            <w:hideMark/>
          </w:tcPr>
          <w:p w:rsidR="00871026" w:rsidRDefault="00871026">
            <w:pPr>
              <w:jc w:val="right"/>
            </w:pPr>
            <w:r>
              <w:t>III.2.1)</w:t>
            </w:r>
          </w:p>
        </w:tc>
        <w:tc>
          <w:tcPr>
            <w:tcW w:w="0" w:type="auto"/>
            <w:vAlign w:val="center"/>
            <w:hideMark/>
          </w:tcPr>
          <w:p w:rsidR="00871026" w:rsidRDefault="00871026">
            <w:r>
              <w:t>Information relative à la profession</w:t>
            </w:r>
          </w:p>
        </w:tc>
      </w:tr>
      <w:tr w:rsidR="00871026" w:rsidTr="00871026">
        <w:trPr>
          <w:gridAfter w:val="1"/>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proofErr w:type="gramStart"/>
            <w:r>
              <w:t>Références</w:t>
            </w:r>
            <w:proofErr w:type="gramEnd"/>
            <w:r>
              <w:t xml:space="preserve"> des dispositions législatives, réglementaires ou administratives applicables : </w:t>
            </w:r>
          </w:p>
        </w:tc>
      </w:tr>
      <w:tr w:rsidR="00871026" w:rsidTr="00871026">
        <w:trPr>
          <w:gridAfter w:val="1"/>
          <w:tblCellSpacing w:w="12" w:type="dxa"/>
        </w:trPr>
        <w:tc>
          <w:tcPr>
            <w:tcW w:w="0" w:type="auto"/>
            <w:gridSpan w:val="2"/>
            <w:hideMark/>
          </w:tcPr>
          <w:p w:rsidR="00871026" w:rsidRDefault="00871026">
            <w:pPr>
              <w:jc w:val="right"/>
            </w:pPr>
            <w:r>
              <w:t>III.2.2)</w:t>
            </w:r>
          </w:p>
        </w:tc>
        <w:tc>
          <w:tcPr>
            <w:tcW w:w="0" w:type="auto"/>
            <w:vAlign w:val="center"/>
            <w:hideMark/>
          </w:tcPr>
          <w:p w:rsidR="00871026" w:rsidRDefault="00871026">
            <w:r>
              <w:t xml:space="preserve">Conditions d'exécution de la concession :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gridSpan w:val="2"/>
            <w:vAlign w:val="center"/>
            <w:hideMark/>
          </w:tcPr>
          <w:p w:rsidR="00871026" w:rsidRDefault="00871026">
            <w:pPr>
              <w:rPr>
                <w:sz w:val="20"/>
                <w:szCs w:val="20"/>
              </w:rPr>
            </w:pPr>
          </w:p>
        </w:tc>
      </w:tr>
      <w:tr w:rsidR="00871026" w:rsidTr="00871026">
        <w:trPr>
          <w:tblCellSpacing w:w="12" w:type="dxa"/>
        </w:trPr>
        <w:tc>
          <w:tcPr>
            <w:tcW w:w="0" w:type="auto"/>
            <w:gridSpan w:val="2"/>
            <w:hideMark/>
          </w:tcPr>
          <w:p w:rsidR="00871026" w:rsidRDefault="00871026">
            <w:pPr>
              <w:jc w:val="right"/>
            </w:pPr>
            <w:r>
              <w:t>III.2.3)</w:t>
            </w:r>
          </w:p>
        </w:tc>
        <w:tc>
          <w:tcPr>
            <w:tcW w:w="0" w:type="auto"/>
            <w:vAlign w:val="center"/>
            <w:hideMark/>
          </w:tcPr>
          <w:p w:rsidR="00871026" w:rsidRDefault="00871026">
            <w:r>
              <w:t>Informations sur le personnel responsable de l'exécution de la concession</w:t>
            </w:r>
          </w:p>
        </w:tc>
        <w:tc>
          <w:tcPr>
            <w:tcW w:w="0" w:type="auto"/>
            <w:vAlign w:val="center"/>
            <w:hideMark/>
          </w:tcPr>
          <w:p w:rsidR="00871026" w:rsidRDefault="00871026">
            <w:pPr>
              <w:rPr>
                <w:sz w:val="20"/>
                <w:szCs w:val="20"/>
              </w:rPr>
            </w:pPr>
          </w:p>
        </w:tc>
      </w:tr>
      <w:tr w:rsidR="00871026" w:rsidTr="00871026">
        <w:trPr>
          <w:tblCellSpacing w:w="12" w:type="dxa"/>
        </w:trPr>
        <w:tc>
          <w:tcPr>
            <w:tcW w:w="0" w:type="auto"/>
            <w:gridSpan w:val="2"/>
            <w:hideMark/>
          </w:tcPr>
          <w:p w:rsidR="00871026" w:rsidRDefault="00871026">
            <w:pPr>
              <w:jc w:val="right"/>
            </w:pPr>
            <w:r>
              <w:t>III.2.4)</w:t>
            </w:r>
          </w:p>
        </w:tc>
        <w:tc>
          <w:tcPr>
            <w:tcW w:w="0" w:type="auto"/>
            <w:vAlign w:val="center"/>
            <w:hideMark/>
          </w:tcPr>
          <w:p w:rsidR="00871026" w:rsidRDefault="00871026">
            <w:r>
              <w:t>Marché éligible au MPS</w:t>
            </w:r>
          </w:p>
        </w:tc>
        <w:tc>
          <w:tcPr>
            <w:tcW w:w="0" w:type="auto"/>
            <w:vAlign w:val="center"/>
            <w:hideMark/>
          </w:tcPr>
          <w:p w:rsidR="00871026" w:rsidRDefault="00871026">
            <w:pPr>
              <w:rPr>
                <w:sz w:val="20"/>
                <w:szCs w:val="20"/>
              </w:rPr>
            </w:pP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La transmission et la vérification des documents de candidatures </w:t>
            </w:r>
            <w:proofErr w:type="gramStart"/>
            <w:r>
              <w:t>peut</w:t>
            </w:r>
            <w:proofErr w:type="gramEnd"/>
            <w:r>
              <w:t xml:space="preserve"> être effectuée par le dispositif Marché public simplifié sur présentation du numéro de SIRET : NON</w:t>
            </w:r>
          </w:p>
        </w:tc>
        <w:tc>
          <w:tcPr>
            <w:tcW w:w="0" w:type="auto"/>
            <w:vAlign w:val="center"/>
            <w:hideMark/>
          </w:tcPr>
          <w:p w:rsidR="00871026" w:rsidRDefault="00871026">
            <w:pPr>
              <w:rPr>
                <w:sz w:val="20"/>
                <w:szCs w:val="20"/>
              </w:rPr>
            </w:pPr>
          </w:p>
        </w:tc>
      </w:tr>
    </w:tbl>
    <w:p w:rsidR="00871026" w:rsidRDefault="00871026" w:rsidP="00871026">
      <w:pPr>
        <w:pStyle w:val="titresection"/>
      </w:pPr>
      <w:r>
        <w:t>Section IV : Procédure</w:t>
      </w:r>
    </w:p>
    <w:tbl>
      <w:tblPr>
        <w:tblW w:w="5000" w:type="pct"/>
        <w:tblCellSpacing w:w="12" w:type="dxa"/>
        <w:tblCellMar>
          <w:left w:w="0" w:type="dxa"/>
          <w:right w:w="0" w:type="dxa"/>
        </w:tblCellMar>
        <w:tblLook w:val="04A0" w:firstRow="1" w:lastRow="0" w:firstColumn="1" w:lastColumn="0" w:noHBand="0" w:noVBand="1"/>
      </w:tblPr>
      <w:tblGrid>
        <w:gridCol w:w="762"/>
        <w:gridCol w:w="33"/>
        <w:gridCol w:w="8277"/>
      </w:tblGrid>
      <w:tr w:rsidR="00871026" w:rsidTr="00871026">
        <w:trPr>
          <w:tblHeader/>
          <w:tblCellSpacing w:w="12" w:type="dxa"/>
        </w:trPr>
        <w:tc>
          <w:tcPr>
            <w:tcW w:w="0" w:type="auto"/>
            <w:hideMark/>
          </w:tcPr>
          <w:p w:rsidR="00871026" w:rsidRDefault="00871026">
            <w:pPr>
              <w:jc w:val="right"/>
            </w:pPr>
            <w:r>
              <w:t>IV.1)</w:t>
            </w:r>
          </w:p>
        </w:tc>
        <w:tc>
          <w:tcPr>
            <w:tcW w:w="0" w:type="auto"/>
            <w:vAlign w:val="center"/>
            <w:hideMark/>
          </w:tcPr>
          <w:p w:rsidR="00871026" w:rsidRDefault="00871026">
            <w:pPr>
              <w:jc w:val="right"/>
            </w:pPr>
          </w:p>
        </w:tc>
        <w:tc>
          <w:tcPr>
            <w:tcW w:w="0" w:type="auto"/>
            <w:vAlign w:val="center"/>
            <w:hideMark/>
          </w:tcPr>
          <w:p w:rsidR="00871026" w:rsidRDefault="00871026">
            <w:r>
              <w:t>DESCRIPTION</w:t>
            </w:r>
          </w:p>
        </w:tc>
      </w:tr>
      <w:tr w:rsidR="00871026" w:rsidTr="00871026">
        <w:trPr>
          <w:tblCellSpacing w:w="12" w:type="dxa"/>
        </w:trPr>
        <w:tc>
          <w:tcPr>
            <w:tcW w:w="0" w:type="auto"/>
            <w:gridSpan w:val="2"/>
            <w:hideMark/>
          </w:tcPr>
          <w:p w:rsidR="00871026" w:rsidRDefault="00871026">
            <w:pPr>
              <w:jc w:val="right"/>
            </w:pPr>
            <w:r>
              <w:t>IV.1.8)</w:t>
            </w:r>
          </w:p>
        </w:tc>
        <w:tc>
          <w:tcPr>
            <w:tcW w:w="0" w:type="auto"/>
            <w:vAlign w:val="center"/>
            <w:hideMark/>
          </w:tcPr>
          <w:p w:rsidR="00871026" w:rsidRDefault="00871026">
            <w:r>
              <w:t>Information concernant l'accord sur les marchés publics (AMP)</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Le marché est couvert par l'accord sur les marchés publics : </w:t>
            </w:r>
          </w:p>
        </w:tc>
      </w:tr>
      <w:tr w:rsidR="00871026" w:rsidTr="00871026">
        <w:trPr>
          <w:tblCellSpacing w:w="12" w:type="dxa"/>
        </w:trPr>
        <w:tc>
          <w:tcPr>
            <w:tcW w:w="0" w:type="auto"/>
            <w:hideMark/>
          </w:tcPr>
          <w:p w:rsidR="00871026" w:rsidRDefault="00871026">
            <w:pPr>
              <w:jc w:val="right"/>
            </w:pPr>
            <w:r>
              <w:t>IV.2)</w:t>
            </w:r>
          </w:p>
        </w:tc>
        <w:tc>
          <w:tcPr>
            <w:tcW w:w="0" w:type="auto"/>
            <w:vAlign w:val="center"/>
            <w:hideMark/>
          </w:tcPr>
          <w:p w:rsidR="00871026" w:rsidRDefault="00871026">
            <w:pPr>
              <w:jc w:val="right"/>
            </w:pPr>
          </w:p>
        </w:tc>
        <w:tc>
          <w:tcPr>
            <w:tcW w:w="0" w:type="auto"/>
            <w:vAlign w:val="center"/>
            <w:hideMark/>
          </w:tcPr>
          <w:p w:rsidR="00871026" w:rsidRDefault="00871026">
            <w:r>
              <w:t>RENSEIGNEMENTS D'ORDRE ADMINISTRATIF</w:t>
            </w:r>
          </w:p>
        </w:tc>
      </w:tr>
      <w:tr w:rsidR="00871026" w:rsidTr="00871026">
        <w:trPr>
          <w:tblCellSpacing w:w="12" w:type="dxa"/>
        </w:trPr>
        <w:tc>
          <w:tcPr>
            <w:tcW w:w="0" w:type="auto"/>
            <w:gridSpan w:val="2"/>
            <w:hideMark/>
          </w:tcPr>
          <w:p w:rsidR="00871026" w:rsidRDefault="00871026">
            <w:pPr>
              <w:jc w:val="right"/>
            </w:pPr>
            <w:r>
              <w:t>IV.2.2)</w:t>
            </w:r>
          </w:p>
        </w:tc>
        <w:tc>
          <w:tcPr>
            <w:tcW w:w="0" w:type="auto"/>
            <w:vAlign w:val="center"/>
            <w:hideMark/>
          </w:tcPr>
          <w:p w:rsidR="00871026" w:rsidRDefault="00871026">
            <w:r>
              <w:t>Date limite de remise des candidatures ou de réception des offres</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Pr="00813DF1" w:rsidRDefault="00871026">
            <w:pPr>
              <w:rPr>
                <w:b/>
              </w:rPr>
            </w:pPr>
            <w:r w:rsidRPr="00813DF1">
              <w:rPr>
                <w:b/>
              </w:rPr>
              <w:t>20 octobre 2023 - 12:00</w:t>
            </w:r>
          </w:p>
        </w:tc>
      </w:tr>
      <w:tr w:rsidR="00871026" w:rsidTr="00871026">
        <w:trPr>
          <w:tblCellSpacing w:w="12" w:type="dxa"/>
        </w:trPr>
        <w:tc>
          <w:tcPr>
            <w:tcW w:w="0" w:type="auto"/>
            <w:gridSpan w:val="2"/>
            <w:hideMark/>
          </w:tcPr>
          <w:p w:rsidR="00871026" w:rsidRDefault="00871026">
            <w:pPr>
              <w:jc w:val="right"/>
            </w:pPr>
            <w:r>
              <w:t>IV.2.4)</w:t>
            </w:r>
          </w:p>
        </w:tc>
        <w:tc>
          <w:tcPr>
            <w:tcW w:w="0" w:type="auto"/>
            <w:vAlign w:val="center"/>
            <w:hideMark/>
          </w:tcPr>
          <w:p w:rsidR="00871026" w:rsidRDefault="00871026">
            <w:r>
              <w:t xml:space="preserve">Langue(s) pouvant être utilisée(s) dans l'offre ou la demande de participation :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français</w:t>
            </w:r>
          </w:p>
        </w:tc>
      </w:tr>
    </w:tbl>
    <w:p w:rsidR="00871026" w:rsidRDefault="00871026" w:rsidP="00871026">
      <w:pPr>
        <w:pStyle w:val="titresection"/>
      </w:pPr>
      <w:r>
        <w:t>Section VI : Renseignements complémentaires</w:t>
      </w:r>
    </w:p>
    <w:tbl>
      <w:tblPr>
        <w:tblW w:w="5000" w:type="pct"/>
        <w:tblCellSpacing w:w="12" w:type="dxa"/>
        <w:tblCellMar>
          <w:left w:w="0" w:type="dxa"/>
          <w:right w:w="0" w:type="dxa"/>
        </w:tblCellMar>
        <w:tblLook w:val="04A0" w:firstRow="1" w:lastRow="0" w:firstColumn="1" w:lastColumn="0" w:noHBand="0" w:noVBand="1"/>
      </w:tblPr>
      <w:tblGrid>
        <w:gridCol w:w="698"/>
        <w:gridCol w:w="32"/>
        <w:gridCol w:w="8342"/>
      </w:tblGrid>
      <w:tr w:rsidR="00871026" w:rsidTr="00871026">
        <w:trPr>
          <w:tblHeader/>
          <w:tblCellSpacing w:w="12" w:type="dxa"/>
        </w:trPr>
        <w:tc>
          <w:tcPr>
            <w:tcW w:w="0" w:type="auto"/>
            <w:hideMark/>
          </w:tcPr>
          <w:p w:rsidR="00871026" w:rsidRDefault="00871026">
            <w:pPr>
              <w:jc w:val="right"/>
            </w:pPr>
            <w:r>
              <w:t>VI.1)</w:t>
            </w:r>
          </w:p>
        </w:tc>
        <w:tc>
          <w:tcPr>
            <w:tcW w:w="0" w:type="auto"/>
            <w:vAlign w:val="center"/>
            <w:hideMark/>
          </w:tcPr>
          <w:p w:rsidR="00871026" w:rsidRDefault="00871026">
            <w:pPr>
              <w:jc w:val="right"/>
            </w:pPr>
          </w:p>
        </w:tc>
        <w:tc>
          <w:tcPr>
            <w:tcW w:w="0" w:type="auto"/>
            <w:vAlign w:val="center"/>
            <w:hideMark/>
          </w:tcPr>
          <w:p w:rsidR="00871026" w:rsidRDefault="00871026">
            <w:r>
              <w:t>RENOUVELLEMENT</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Il ne s'agit pas d'un marché renouvelable</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Calendrier prévisionnel de publication des prochains avis : </w:t>
            </w:r>
          </w:p>
        </w:tc>
      </w:tr>
      <w:tr w:rsidR="00871026" w:rsidTr="00871026">
        <w:trPr>
          <w:tblCellSpacing w:w="12" w:type="dxa"/>
        </w:trPr>
        <w:tc>
          <w:tcPr>
            <w:tcW w:w="0" w:type="auto"/>
            <w:hideMark/>
          </w:tcPr>
          <w:p w:rsidR="00871026" w:rsidRDefault="00871026">
            <w:pPr>
              <w:jc w:val="right"/>
            </w:pPr>
            <w:r>
              <w:t>VI.2)</w:t>
            </w:r>
          </w:p>
        </w:tc>
        <w:tc>
          <w:tcPr>
            <w:tcW w:w="0" w:type="auto"/>
            <w:vAlign w:val="center"/>
            <w:hideMark/>
          </w:tcPr>
          <w:p w:rsidR="00871026" w:rsidRDefault="00871026">
            <w:pPr>
              <w:jc w:val="right"/>
            </w:pPr>
          </w:p>
        </w:tc>
        <w:tc>
          <w:tcPr>
            <w:tcW w:w="0" w:type="auto"/>
            <w:vAlign w:val="center"/>
            <w:hideMark/>
          </w:tcPr>
          <w:p w:rsidR="00871026" w:rsidRDefault="00871026">
            <w:r>
              <w:t>INFORMATIONS SUR LES ÉCHANGES ÉLECTRONIQUES</w:t>
            </w:r>
          </w:p>
        </w:tc>
      </w:tr>
      <w:tr w:rsidR="00871026" w:rsidTr="00871026">
        <w:trPr>
          <w:tblCellSpacing w:w="12" w:type="dxa"/>
        </w:trPr>
        <w:tc>
          <w:tcPr>
            <w:tcW w:w="0" w:type="auto"/>
            <w:hideMark/>
          </w:tcPr>
          <w:p w:rsidR="00871026" w:rsidRDefault="00871026">
            <w:pPr>
              <w:jc w:val="right"/>
            </w:pPr>
            <w:r>
              <w:lastRenderedPageBreak/>
              <w:t>VI.3)</w:t>
            </w:r>
          </w:p>
        </w:tc>
        <w:tc>
          <w:tcPr>
            <w:tcW w:w="0" w:type="auto"/>
            <w:vAlign w:val="center"/>
            <w:hideMark/>
          </w:tcPr>
          <w:p w:rsidR="00871026" w:rsidRDefault="00871026">
            <w:pPr>
              <w:jc w:val="right"/>
            </w:pPr>
          </w:p>
        </w:tc>
        <w:tc>
          <w:tcPr>
            <w:tcW w:w="0" w:type="auto"/>
            <w:vAlign w:val="center"/>
            <w:hideMark/>
          </w:tcPr>
          <w:p w:rsidR="00871026" w:rsidRDefault="00871026">
            <w:r>
              <w:t xml:space="preserve">INFORMATIONS COMPLÉMENTAIRES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Pr="00813DF1" w:rsidRDefault="00871026">
            <w:pPr>
              <w:rPr>
                <w:b/>
              </w:rPr>
            </w:pPr>
            <w:r w:rsidRPr="00813DF1">
              <w:rPr>
                <w:b/>
              </w:rPr>
              <w:t>La présente procédure est organisée conformément aux dispositions des articles L. 3120-1 et suivants du code de la commande publique. Grand Besançon Métropole recourt à une procédure restreinte, comprenant une remise successive, et non simultanée, des candidature</w:t>
            </w:r>
            <w:bookmarkStart w:id="0" w:name="_GoBack"/>
            <w:bookmarkEnd w:id="0"/>
            <w:r w:rsidRPr="00813DF1">
              <w:rPr>
                <w:b/>
              </w:rPr>
              <w:t xml:space="preserve">s et des offres des candidats. </w:t>
            </w:r>
          </w:p>
        </w:tc>
      </w:tr>
      <w:tr w:rsidR="00871026" w:rsidTr="00871026">
        <w:trPr>
          <w:tblCellSpacing w:w="12" w:type="dxa"/>
        </w:trPr>
        <w:tc>
          <w:tcPr>
            <w:tcW w:w="0" w:type="auto"/>
            <w:hideMark/>
          </w:tcPr>
          <w:p w:rsidR="00871026" w:rsidRDefault="00871026">
            <w:pPr>
              <w:jc w:val="right"/>
            </w:pPr>
            <w:r>
              <w:t>VI.4)</w:t>
            </w:r>
          </w:p>
        </w:tc>
        <w:tc>
          <w:tcPr>
            <w:tcW w:w="0" w:type="auto"/>
            <w:vAlign w:val="center"/>
            <w:hideMark/>
          </w:tcPr>
          <w:p w:rsidR="00871026" w:rsidRDefault="00871026">
            <w:pPr>
              <w:jc w:val="right"/>
            </w:pPr>
          </w:p>
        </w:tc>
        <w:tc>
          <w:tcPr>
            <w:tcW w:w="0" w:type="auto"/>
            <w:vAlign w:val="center"/>
            <w:hideMark/>
          </w:tcPr>
          <w:p w:rsidR="00871026" w:rsidRDefault="00871026">
            <w:r>
              <w:t>PROCÉDURES DE RECOURS</w:t>
            </w:r>
          </w:p>
        </w:tc>
      </w:tr>
      <w:tr w:rsidR="00871026" w:rsidTr="00871026">
        <w:trPr>
          <w:tblCellSpacing w:w="12" w:type="dxa"/>
        </w:trPr>
        <w:tc>
          <w:tcPr>
            <w:tcW w:w="0" w:type="auto"/>
            <w:gridSpan w:val="2"/>
            <w:hideMark/>
          </w:tcPr>
          <w:p w:rsidR="00871026" w:rsidRDefault="00871026">
            <w:pPr>
              <w:jc w:val="right"/>
            </w:pPr>
            <w:r>
              <w:t>VI.4.1)</w:t>
            </w:r>
          </w:p>
        </w:tc>
        <w:tc>
          <w:tcPr>
            <w:tcW w:w="0" w:type="auto"/>
            <w:vAlign w:val="center"/>
            <w:hideMark/>
          </w:tcPr>
          <w:p w:rsidR="00871026" w:rsidRDefault="00871026">
            <w:r>
              <w:t xml:space="preserve">Instance chargée des procédures de recours :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Tribunal Administratif de Besançon, 30, rue Charles Nodier, 25044, Besançon, F, Courriel : </w:t>
            </w:r>
            <w:hyperlink r:id="rId9" w:history="1">
              <w:r>
                <w:rPr>
                  <w:rStyle w:val="Lienhypertexte"/>
                </w:rPr>
                <w:t>greffe.ta-besancon@juradm.fr</w:t>
              </w:r>
            </w:hyperlink>
            <w:r>
              <w:t xml:space="preserve">, Adresse internet : </w:t>
            </w:r>
            <w:hyperlink r:id="rId10" w:tgtFrame="_blank" w:history="1">
              <w:r>
                <w:rPr>
                  <w:rStyle w:val="Lienhypertexte"/>
                </w:rPr>
                <w:t>http://www.besancon.tribunal-administratif.fr</w:t>
              </w:r>
            </w:hyperlink>
          </w:p>
        </w:tc>
      </w:tr>
      <w:tr w:rsidR="00871026" w:rsidTr="00871026">
        <w:trPr>
          <w:tblCellSpacing w:w="12" w:type="dxa"/>
        </w:trPr>
        <w:tc>
          <w:tcPr>
            <w:tcW w:w="0" w:type="auto"/>
            <w:gridSpan w:val="2"/>
            <w:hideMark/>
          </w:tcPr>
          <w:p w:rsidR="00871026" w:rsidRDefault="00871026">
            <w:pPr>
              <w:jc w:val="right"/>
            </w:pPr>
            <w:r>
              <w:t>VI.4.2)</w:t>
            </w:r>
          </w:p>
        </w:tc>
        <w:tc>
          <w:tcPr>
            <w:tcW w:w="0" w:type="auto"/>
            <w:vAlign w:val="center"/>
            <w:hideMark/>
          </w:tcPr>
          <w:p w:rsidR="00871026" w:rsidRDefault="00871026">
            <w:r>
              <w:t xml:space="preserve">Organe chargé des procédures de médiation :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Comité consultatif interrégional de règlement amiable des </w:t>
            </w:r>
            <w:proofErr w:type="spellStart"/>
            <w:r>
              <w:t>différents</w:t>
            </w:r>
            <w:proofErr w:type="spellEnd"/>
            <w:r>
              <w:t xml:space="preserve">, 1 rue du Préfet Claude </w:t>
            </w:r>
            <w:proofErr w:type="spellStart"/>
            <w:r>
              <w:t>Erignac</w:t>
            </w:r>
            <w:proofErr w:type="spellEnd"/>
            <w:r>
              <w:t>, 54038, Nancy Cedex, F, Téléphone : (+33) 3 83 34 25 65</w:t>
            </w:r>
          </w:p>
        </w:tc>
      </w:tr>
      <w:tr w:rsidR="00871026" w:rsidTr="00871026">
        <w:trPr>
          <w:tblCellSpacing w:w="12" w:type="dxa"/>
        </w:trPr>
        <w:tc>
          <w:tcPr>
            <w:tcW w:w="0" w:type="auto"/>
            <w:gridSpan w:val="2"/>
            <w:hideMark/>
          </w:tcPr>
          <w:p w:rsidR="00871026" w:rsidRDefault="00871026">
            <w:pPr>
              <w:jc w:val="right"/>
            </w:pPr>
            <w:r>
              <w:t>VI.4.3)</w:t>
            </w:r>
          </w:p>
        </w:tc>
        <w:tc>
          <w:tcPr>
            <w:tcW w:w="0" w:type="auto"/>
            <w:vAlign w:val="center"/>
            <w:hideMark/>
          </w:tcPr>
          <w:p w:rsidR="00871026" w:rsidRDefault="00871026">
            <w:r>
              <w:t xml:space="preserve">Introduction de recours : </w:t>
            </w:r>
          </w:p>
        </w:tc>
      </w:tr>
      <w:tr w:rsidR="00871026" w:rsidTr="00871026">
        <w:trPr>
          <w:tblCellSpacing w:w="12" w:type="dxa"/>
        </w:trPr>
        <w:tc>
          <w:tcPr>
            <w:tcW w:w="0" w:type="auto"/>
            <w:gridSpan w:val="2"/>
            <w:hideMark/>
          </w:tcPr>
          <w:p w:rsidR="00871026" w:rsidRDefault="00871026">
            <w:pPr>
              <w:jc w:val="right"/>
            </w:pPr>
            <w:r>
              <w:t>VI.4.4)</w:t>
            </w:r>
          </w:p>
        </w:tc>
        <w:tc>
          <w:tcPr>
            <w:tcW w:w="0" w:type="auto"/>
            <w:vAlign w:val="center"/>
            <w:hideMark/>
          </w:tcPr>
          <w:p w:rsidR="00871026" w:rsidRDefault="00871026">
            <w:r>
              <w:t xml:space="preserve">Service auprès duquel des renseignements peuvent être obtenus sur l'introduction de recours :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 xml:space="preserve">Tribunal Administratif de Besançon, 30, rue Charles Nodier, 25044, Besançon, F, Adresse internet : </w:t>
            </w:r>
            <w:hyperlink r:id="rId11" w:tgtFrame="_blank" w:history="1">
              <w:r>
                <w:rPr>
                  <w:rStyle w:val="Lienhypertexte"/>
                </w:rPr>
                <w:t>http://www.besancon.tribunal-administratif.fr</w:t>
              </w:r>
            </w:hyperlink>
          </w:p>
        </w:tc>
      </w:tr>
      <w:tr w:rsidR="00871026" w:rsidTr="00871026">
        <w:trPr>
          <w:tblCellSpacing w:w="12" w:type="dxa"/>
        </w:trPr>
        <w:tc>
          <w:tcPr>
            <w:tcW w:w="0" w:type="auto"/>
            <w:hideMark/>
          </w:tcPr>
          <w:p w:rsidR="00871026" w:rsidRDefault="00871026">
            <w:pPr>
              <w:jc w:val="right"/>
            </w:pPr>
            <w:r>
              <w:t>VI.5)</w:t>
            </w:r>
          </w:p>
        </w:tc>
        <w:tc>
          <w:tcPr>
            <w:tcW w:w="0" w:type="auto"/>
            <w:vAlign w:val="center"/>
            <w:hideMark/>
          </w:tcPr>
          <w:p w:rsidR="00871026" w:rsidRDefault="00871026">
            <w:pPr>
              <w:jc w:val="right"/>
            </w:pPr>
          </w:p>
        </w:tc>
        <w:tc>
          <w:tcPr>
            <w:tcW w:w="0" w:type="auto"/>
            <w:vAlign w:val="center"/>
            <w:hideMark/>
          </w:tcPr>
          <w:p w:rsidR="00871026" w:rsidRDefault="00871026">
            <w:r>
              <w:t xml:space="preserve">DATE D'ENVOI DU PRÉSENT AVIS </w:t>
            </w:r>
          </w:p>
        </w:tc>
      </w:tr>
      <w:tr w:rsidR="00871026" w:rsidTr="00871026">
        <w:trPr>
          <w:tblCellSpacing w:w="12" w:type="dxa"/>
        </w:trPr>
        <w:tc>
          <w:tcPr>
            <w:tcW w:w="0" w:type="auto"/>
            <w:vAlign w:val="center"/>
            <w:hideMark/>
          </w:tcPr>
          <w:p w:rsidR="00871026" w:rsidRDefault="00871026"/>
        </w:tc>
        <w:tc>
          <w:tcPr>
            <w:tcW w:w="0" w:type="auto"/>
            <w:vAlign w:val="center"/>
            <w:hideMark/>
          </w:tcPr>
          <w:p w:rsidR="00871026" w:rsidRDefault="00871026">
            <w:pPr>
              <w:rPr>
                <w:sz w:val="20"/>
                <w:szCs w:val="20"/>
              </w:rPr>
            </w:pPr>
          </w:p>
        </w:tc>
        <w:tc>
          <w:tcPr>
            <w:tcW w:w="0" w:type="auto"/>
            <w:vAlign w:val="center"/>
            <w:hideMark/>
          </w:tcPr>
          <w:p w:rsidR="00871026" w:rsidRDefault="00871026">
            <w:r>
              <w:t>19 septembre 2023</w:t>
            </w:r>
          </w:p>
        </w:tc>
      </w:tr>
    </w:tbl>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26"/>
    <w:rsid w:val="002B6B8B"/>
    <w:rsid w:val="002B7087"/>
    <w:rsid w:val="002D4D15"/>
    <w:rsid w:val="00303831"/>
    <w:rsid w:val="00813DF1"/>
    <w:rsid w:val="00871026"/>
    <w:rsid w:val="009B3E96"/>
    <w:rsid w:val="00CA3F53"/>
    <w:rsid w:val="00F7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441F9-E396-4D1A-9B3D-E20AB24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ection0">
    <w:name w:val="titresection0"/>
    <w:basedOn w:val="Normal"/>
    <w:rsid w:val="00871026"/>
    <w:pPr>
      <w:spacing w:before="100" w:beforeAutospacing="1" w:after="100" w:afterAutospacing="1"/>
    </w:pPr>
  </w:style>
  <w:style w:type="paragraph" w:customStyle="1" w:styleId="txt">
    <w:name w:val="txt"/>
    <w:basedOn w:val="Normal"/>
    <w:rsid w:val="00871026"/>
    <w:pPr>
      <w:spacing w:before="100" w:beforeAutospacing="1" w:after="100" w:afterAutospacing="1"/>
    </w:pPr>
  </w:style>
  <w:style w:type="paragraph" w:customStyle="1" w:styleId="titresection">
    <w:name w:val="titresection"/>
    <w:basedOn w:val="Normal"/>
    <w:rsid w:val="00871026"/>
    <w:pPr>
      <w:spacing w:before="100" w:beforeAutospacing="1" w:after="100" w:afterAutospacing="1"/>
    </w:pPr>
  </w:style>
  <w:style w:type="character" w:styleId="Lienhypertexte">
    <w:name w:val="Hyperlink"/>
    <w:basedOn w:val="Policepardfaut"/>
    <w:uiPriority w:val="99"/>
    <w:unhideWhenUsed/>
    <w:rsid w:val="00871026"/>
    <w:rPr>
      <w:color w:val="0000FF"/>
      <w:u w:val="single"/>
    </w:rPr>
  </w:style>
  <w:style w:type="character" w:customStyle="1" w:styleId="bold">
    <w:name w:val="bold"/>
    <w:basedOn w:val="Policepardfaut"/>
    <w:rsid w:val="0087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rches-securises.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s-securises.fr" TargetMode="External"/><Relationship Id="rId11" Type="http://schemas.openxmlformats.org/officeDocument/2006/relationships/hyperlink" Target="http://www.besancon.tribunal-administratif.fr" TargetMode="External"/><Relationship Id="rId5" Type="http://schemas.openxmlformats.org/officeDocument/2006/relationships/hyperlink" Target="http://www.grandbesancon.fr/" TargetMode="External"/><Relationship Id="rId10" Type="http://schemas.openxmlformats.org/officeDocument/2006/relationships/hyperlink" Target="http://www.besancon.tribunal-administratif.fr" TargetMode="External"/><Relationship Id="rId4" Type="http://schemas.openxmlformats.org/officeDocument/2006/relationships/hyperlink" Target="mailto:mobilites@grandbesancon.fr" TargetMode="External"/><Relationship Id="rId9" Type="http://schemas.openxmlformats.org/officeDocument/2006/relationships/hyperlink" Target="mailto:greffe.ta-besancon@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B261349E.dotm</Template>
  <TotalTime>46</TotalTime>
  <Pages>4</Pages>
  <Words>1111</Words>
  <Characters>7244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Aurélie</dc:creator>
  <cp:keywords/>
  <dc:description/>
  <cp:lastModifiedBy>JOSEPH Aurélie</cp:lastModifiedBy>
  <cp:revision>1</cp:revision>
  <dcterms:created xsi:type="dcterms:W3CDTF">2023-09-19T12:14:00Z</dcterms:created>
  <dcterms:modified xsi:type="dcterms:W3CDTF">2023-09-19T13:00:00Z</dcterms:modified>
</cp:coreProperties>
</file>