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9212" w:type="dxa"/>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31"/>
        <w:gridCol w:w="5881"/>
      </w:tblGrid>
      <w:tr w:rsidR="00976E54">
        <w:tc>
          <w:tcPr>
            <w:tcW w:w="3331" w:type="dxa"/>
          </w:tcPr>
          <w:p w:rsidR="00976E54" w:rsidRDefault="00B77BA8">
            <w:pPr>
              <w:rPr>
                <w:b/>
              </w:rPr>
            </w:pPr>
            <w:r>
              <w:rPr>
                <w:b/>
              </w:rPr>
              <w:t xml:space="preserve">Réseau  de chaleur urbain </w:t>
            </w:r>
          </w:p>
          <w:p w:rsidR="00976E54" w:rsidRDefault="00976E54">
            <w:pPr>
              <w:rPr>
                <w:b/>
              </w:rPr>
            </w:pPr>
          </w:p>
        </w:tc>
        <w:tc>
          <w:tcPr>
            <w:tcW w:w="5881" w:type="dxa"/>
          </w:tcPr>
          <w:p w:rsidR="00976E54" w:rsidRDefault="00241B35">
            <w:pPr>
              <w:rPr>
                <w:b/>
              </w:rPr>
            </w:pPr>
            <w:r>
              <w:rPr>
                <w:b/>
              </w:rPr>
              <w:t>Abbeville</w:t>
            </w:r>
          </w:p>
        </w:tc>
      </w:tr>
      <w:tr w:rsidR="00976E54">
        <w:tc>
          <w:tcPr>
            <w:tcW w:w="3331" w:type="dxa"/>
          </w:tcPr>
          <w:p w:rsidR="00976E54" w:rsidRDefault="00B77BA8">
            <w:pPr>
              <w:rPr>
                <w:b/>
              </w:rPr>
            </w:pPr>
            <w:r>
              <w:rPr>
                <w:b/>
              </w:rPr>
              <w:t>Intitulé du Contrat </w:t>
            </w:r>
          </w:p>
          <w:p w:rsidR="00976E54" w:rsidRDefault="00976E54">
            <w:pPr>
              <w:rPr>
                <w:b/>
              </w:rPr>
            </w:pPr>
          </w:p>
        </w:tc>
        <w:tc>
          <w:tcPr>
            <w:tcW w:w="5881" w:type="dxa"/>
          </w:tcPr>
          <w:p w:rsidR="00976E54" w:rsidRDefault="00241B35">
            <w:pPr>
              <w:rPr>
                <w:b/>
              </w:rPr>
            </w:pPr>
            <w:r>
              <w:rPr>
                <w:b/>
                <w:bCs/>
              </w:rPr>
              <w:t>Chaudière biomasse site ABBEVILLE</w:t>
            </w:r>
          </w:p>
        </w:tc>
      </w:tr>
      <w:tr w:rsidR="00976E54">
        <w:tc>
          <w:tcPr>
            <w:tcW w:w="3331" w:type="dxa"/>
          </w:tcPr>
          <w:p w:rsidR="00976E54" w:rsidRDefault="00B77BA8">
            <w:pPr>
              <w:rPr>
                <w:b/>
              </w:rPr>
            </w:pPr>
            <w:r>
              <w:rPr>
                <w:b/>
              </w:rPr>
              <w:t>Numéro de procédure </w:t>
            </w:r>
          </w:p>
          <w:p w:rsidR="00976E54" w:rsidRDefault="00976E54">
            <w:pPr>
              <w:rPr>
                <w:b/>
              </w:rPr>
            </w:pPr>
          </w:p>
        </w:tc>
        <w:tc>
          <w:tcPr>
            <w:tcW w:w="5881" w:type="dxa"/>
          </w:tcPr>
          <w:p w:rsidR="00976E54" w:rsidRDefault="00976E54">
            <w:pPr>
              <w:rPr>
                <w:b/>
              </w:rPr>
            </w:pPr>
          </w:p>
        </w:tc>
      </w:tr>
      <w:tr w:rsidR="00976E54">
        <w:tc>
          <w:tcPr>
            <w:tcW w:w="3331" w:type="dxa"/>
          </w:tcPr>
          <w:p w:rsidR="00976E54" w:rsidRDefault="00B77BA8">
            <w:pPr>
              <w:rPr>
                <w:b/>
              </w:rPr>
            </w:pPr>
            <w:r>
              <w:rPr>
                <w:b/>
              </w:rPr>
              <w:t>Maître d’ouvrage </w:t>
            </w:r>
          </w:p>
          <w:p w:rsidR="00976E54" w:rsidRDefault="00976E54">
            <w:pPr>
              <w:rPr>
                <w:b/>
              </w:rPr>
            </w:pPr>
          </w:p>
        </w:tc>
        <w:tc>
          <w:tcPr>
            <w:tcW w:w="5881" w:type="dxa"/>
          </w:tcPr>
          <w:p w:rsidR="00241B35" w:rsidRDefault="00241B35" w:rsidP="00241B35">
            <w:r>
              <w:t>DK5</w:t>
            </w:r>
          </w:p>
          <w:p w:rsidR="00241B35" w:rsidRDefault="00241B35" w:rsidP="00241B35">
            <w:r>
              <w:t>Tour Europ</w:t>
            </w:r>
          </w:p>
          <w:p w:rsidR="00241B35" w:rsidRDefault="00241B35" w:rsidP="00241B35">
            <w:r>
              <w:t>33 place des Corolles – TSA12345</w:t>
            </w:r>
          </w:p>
          <w:p w:rsidR="00976E54" w:rsidRDefault="00241B35" w:rsidP="00241B35">
            <w:pPr>
              <w:rPr>
                <w:b/>
              </w:rPr>
            </w:pPr>
            <w:r>
              <w:t>92099 Paris La Défense cedex</w:t>
            </w:r>
          </w:p>
        </w:tc>
      </w:tr>
      <w:tr w:rsidR="00976E54" w:rsidTr="00B77BA8">
        <w:trPr>
          <w:trHeight w:val="2057"/>
        </w:trPr>
        <w:tc>
          <w:tcPr>
            <w:tcW w:w="3331" w:type="dxa"/>
          </w:tcPr>
          <w:p w:rsidR="00976E54" w:rsidRDefault="00B77BA8">
            <w:pPr>
              <w:rPr>
                <w:b/>
              </w:rPr>
            </w:pPr>
            <w:r>
              <w:rPr>
                <w:b/>
              </w:rPr>
              <w:t>Définition des prestations </w:t>
            </w:r>
          </w:p>
          <w:p w:rsidR="00976E54" w:rsidRDefault="00976E54">
            <w:pPr>
              <w:rPr>
                <w:b/>
              </w:rPr>
            </w:pPr>
          </w:p>
          <w:p w:rsidR="00976E54" w:rsidRDefault="00976E54">
            <w:pPr>
              <w:rPr>
                <w:b/>
              </w:rPr>
            </w:pPr>
          </w:p>
          <w:p w:rsidR="00976E54" w:rsidRDefault="00976E54">
            <w:pPr>
              <w:rPr>
                <w:b/>
              </w:rPr>
            </w:pPr>
          </w:p>
          <w:p w:rsidR="00976E54" w:rsidRDefault="00976E54">
            <w:pPr>
              <w:rPr>
                <w:b/>
              </w:rPr>
            </w:pPr>
          </w:p>
          <w:p w:rsidR="00976E54" w:rsidRDefault="00976E54">
            <w:pPr>
              <w:rPr>
                <w:b/>
              </w:rPr>
            </w:pPr>
          </w:p>
        </w:tc>
        <w:tc>
          <w:tcPr>
            <w:tcW w:w="5881" w:type="dxa"/>
          </w:tcPr>
          <w:p w:rsidR="00241B35" w:rsidRPr="00241B35" w:rsidRDefault="00241B35" w:rsidP="00241B35">
            <w:pPr>
              <w:rPr>
                <w:b/>
              </w:rPr>
            </w:pPr>
            <w:r w:rsidRPr="00241B35">
              <w:rPr>
                <w:b/>
              </w:rPr>
              <w:t>La consultation porte sur l’achat d’une chaudière FOURNITURE D’UNE CHAUDIERE BIOMASSE DE 2,7 MW AVEC SYSTEME DE CONVOYAGE ET EXTRACTION DES CENDRES</w:t>
            </w:r>
            <w:r w:rsidRPr="00241B35">
              <w:rPr>
                <w:b/>
              </w:rPr>
              <w:t></w:t>
            </w:r>
          </w:p>
          <w:p w:rsidR="00241B35" w:rsidRPr="00241B35" w:rsidRDefault="00241B35" w:rsidP="00241B35">
            <w:pPr>
              <w:rPr>
                <w:b/>
              </w:rPr>
            </w:pPr>
            <w:r w:rsidRPr="00241B35">
              <w:rPr>
                <w:b/>
              </w:rPr>
              <w:t>•</w:t>
            </w:r>
            <w:r w:rsidRPr="00241B35">
              <w:rPr>
                <w:b/>
              </w:rPr>
              <w:tab/>
              <w:t>Conception de la chaudière</w:t>
            </w:r>
          </w:p>
          <w:p w:rsidR="00241B35" w:rsidRPr="00241B35" w:rsidRDefault="00241B35" w:rsidP="00241B35">
            <w:pPr>
              <w:rPr>
                <w:b/>
              </w:rPr>
            </w:pPr>
            <w:r w:rsidRPr="00241B35">
              <w:rPr>
                <w:b/>
              </w:rPr>
              <w:t>•</w:t>
            </w:r>
            <w:r w:rsidRPr="00241B35">
              <w:rPr>
                <w:b/>
              </w:rPr>
              <w:tab/>
              <w:t>Fabrication de la chaudière</w:t>
            </w:r>
          </w:p>
          <w:p w:rsidR="00241B35" w:rsidRPr="00241B35" w:rsidRDefault="00241B35" w:rsidP="00241B35">
            <w:pPr>
              <w:rPr>
                <w:b/>
              </w:rPr>
            </w:pPr>
            <w:r w:rsidRPr="00241B35">
              <w:rPr>
                <w:b/>
              </w:rPr>
              <w:t>•</w:t>
            </w:r>
            <w:r w:rsidRPr="00241B35">
              <w:rPr>
                <w:b/>
              </w:rPr>
              <w:tab/>
              <w:t>Système de convoyage et extraction des cendres</w:t>
            </w:r>
          </w:p>
          <w:p w:rsidR="00B77BA8" w:rsidRDefault="00241B35" w:rsidP="00241B35">
            <w:pPr>
              <w:rPr>
                <w:b/>
              </w:rPr>
            </w:pPr>
            <w:r w:rsidRPr="00241B35">
              <w:rPr>
                <w:b/>
              </w:rPr>
              <w:t>•</w:t>
            </w:r>
            <w:r w:rsidRPr="00241B35">
              <w:rPr>
                <w:b/>
              </w:rPr>
              <w:tab/>
              <w:t>Livraison et pose sur site</w:t>
            </w:r>
          </w:p>
        </w:tc>
      </w:tr>
      <w:tr w:rsidR="00976E54">
        <w:tc>
          <w:tcPr>
            <w:tcW w:w="3331" w:type="dxa"/>
          </w:tcPr>
          <w:p w:rsidR="00976E54" w:rsidRDefault="00B77BA8">
            <w:pPr>
              <w:rPr>
                <w:b/>
              </w:rPr>
            </w:pPr>
            <w:r>
              <w:rPr>
                <w:b/>
              </w:rPr>
              <w:t xml:space="preserve">Types de Prestations  </w:t>
            </w:r>
          </w:p>
          <w:p w:rsidR="00976E54" w:rsidRDefault="00B77BA8">
            <w:pPr>
              <w:rPr>
                <w:b/>
              </w:rPr>
            </w:pPr>
            <w:r>
              <w:rPr>
                <w:b/>
              </w:rPr>
              <w:t>[cocher la part prépondérante]</w:t>
            </w:r>
          </w:p>
        </w:tc>
        <w:tc>
          <w:tcPr>
            <w:tcW w:w="5881" w:type="dxa"/>
          </w:tcPr>
          <w:p w:rsidR="00976E54" w:rsidRDefault="00B77BA8">
            <w:pPr>
              <w:pBdr>
                <w:top w:val="nil"/>
                <w:left w:val="nil"/>
                <w:bottom w:val="nil"/>
                <w:right w:val="nil"/>
                <w:between w:val="nil"/>
              </w:pBdr>
              <w:rPr>
                <w:color w:val="000000"/>
              </w:rPr>
            </w:pPr>
            <w:r>
              <w:rPr>
                <w:rFonts w:ascii="MS Gothic" w:eastAsia="MS Gothic" w:hAnsi="MS Gothic" w:cs="MS Gothic"/>
                <w:color w:val="000000"/>
              </w:rPr>
              <w:t>☐</w:t>
            </w:r>
            <w:r>
              <w:rPr>
                <w:color w:val="000000"/>
              </w:rPr>
              <w:t>Fournitures</w:t>
            </w:r>
          </w:p>
          <w:p w:rsidR="00976E54" w:rsidRDefault="00B77BA8">
            <w:pPr>
              <w:pBdr>
                <w:top w:val="nil"/>
                <w:left w:val="nil"/>
                <w:bottom w:val="nil"/>
                <w:right w:val="nil"/>
                <w:between w:val="nil"/>
              </w:pBdr>
              <w:rPr>
                <w:color w:val="000000"/>
              </w:rPr>
            </w:pPr>
            <w:r>
              <w:rPr>
                <w:rFonts w:ascii="MS Gothic" w:eastAsia="MS Gothic" w:hAnsi="MS Gothic" w:cs="MS Gothic"/>
                <w:color w:val="000000"/>
              </w:rPr>
              <w:t>☐</w:t>
            </w:r>
            <w:r>
              <w:rPr>
                <w:color w:val="000000"/>
              </w:rPr>
              <w:t>Services</w:t>
            </w:r>
          </w:p>
          <w:p w:rsidR="00976E54" w:rsidRDefault="00241B35" w:rsidP="00241B35">
            <w:pPr>
              <w:pBdr>
                <w:top w:val="nil"/>
                <w:left w:val="nil"/>
                <w:bottom w:val="nil"/>
                <w:right w:val="nil"/>
                <w:between w:val="nil"/>
              </w:pBdr>
              <w:rPr>
                <w:color w:val="000000"/>
              </w:rPr>
            </w:pPr>
            <w:proofErr w:type="spellStart"/>
            <w:r>
              <w:rPr>
                <w:rFonts w:ascii="MS Gothic" w:eastAsia="MS Gothic" w:hAnsi="MS Gothic" w:cs="MS Gothic"/>
                <w:color w:val="000000"/>
                <w:highlight w:val="yellow"/>
              </w:rPr>
              <w:t>x</w:t>
            </w:r>
            <w:r w:rsidR="00B77BA8">
              <w:rPr>
                <w:color w:val="000000"/>
              </w:rPr>
              <w:t>Travaux</w:t>
            </w:r>
            <w:proofErr w:type="spellEnd"/>
          </w:p>
        </w:tc>
      </w:tr>
      <w:tr w:rsidR="00976E54">
        <w:tc>
          <w:tcPr>
            <w:tcW w:w="3331" w:type="dxa"/>
          </w:tcPr>
          <w:p w:rsidR="00976E54" w:rsidRDefault="00B77BA8">
            <w:pPr>
              <w:rPr>
                <w:b/>
              </w:rPr>
            </w:pPr>
            <w:r>
              <w:rPr>
                <w:b/>
              </w:rPr>
              <w:t>Lieu d’exécution </w:t>
            </w:r>
          </w:p>
        </w:tc>
        <w:tc>
          <w:tcPr>
            <w:tcW w:w="5881" w:type="dxa"/>
          </w:tcPr>
          <w:p w:rsidR="00976E54" w:rsidRDefault="00241B35">
            <w:pPr>
              <w:rPr>
                <w:b/>
              </w:rPr>
            </w:pPr>
            <w:r>
              <w:rPr>
                <w:b/>
              </w:rPr>
              <w:t>Chaufferie Urbaine d’Abbeville – Avenue du Président COTY à ABBEVILLE (80)</w:t>
            </w:r>
          </w:p>
        </w:tc>
      </w:tr>
      <w:tr w:rsidR="00976E54">
        <w:tc>
          <w:tcPr>
            <w:tcW w:w="3331" w:type="dxa"/>
          </w:tcPr>
          <w:p w:rsidR="00976E54" w:rsidRDefault="00B77BA8">
            <w:pPr>
              <w:rPr>
                <w:b/>
              </w:rPr>
            </w:pPr>
            <w:r>
              <w:rPr>
                <w:b/>
              </w:rPr>
              <w:t xml:space="preserve">Durée </w:t>
            </w:r>
          </w:p>
        </w:tc>
        <w:tc>
          <w:tcPr>
            <w:tcW w:w="5881" w:type="dxa"/>
            <w:shd w:val="clear" w:color="auto" w:fill="auto"/>
          </w:tcPr>
          <w:p w:rsidR="00976E54" w:rsidRPr="00241B35" w:rsidRDefault="00241B35">
            <w:r>
              <w:t>6 mois</w:t>
            </w:r>
          </w:p>
        </w:tc>
      </w:tr>
      <w:tr w:rsidR="00976E54">
        <w:tc>
          <w:tcPr>
            <w:tcW w:w="3331" w:type="dxa"/>
          </w:tcPr>
          <w:p w:rsidR="00976E54" w:rsidRDefault="00B77BA8">
            <w:pPr>
              <w:rPr>
                <w:b/>
              </w:rPr>
            </w:pPr>
            <w:r>
              <w:rPr>
                <w:b/>
              </w:rPr>
              <w:t>Estimation du prix </w:t>
            </w:r>
          </w:p>
        </w:tc>
        <w:tc>
          <w:tcPr>
            <w:tcW w:w="5881" w:type="dxa"/>
          </w:tcPr>
          <w:p w:rsidR="00B77BA8" w:rsidRDefault="00241B35" w:rsidP="00B77BA8">
            <w:pPr>
              <w:pBdr>
                <w:top w:val="nil"/>
                <w:left w:val="nil"/>
                <w:bottom w:val="nil"/>
                <w:right w:val="nil"/>
                <w:between w:val="nil"/>
              </w:pBdr>
              <w:rPr>
                <w:color w:val="000000"/>
              </w:rPr>
            </w:pPr>
            <w:r>
              <w:rPr>
                <w:b/>
                <w:color w:val="000000"/>
              </w:rPr>
              <w:t>700</w:t>
            </w:r>
            <w:r w:rsidR="00B77BA8">
              <w:rPr>
                <w:b/>
                <w:color w:val="000000"/>
              </w:rPr>
              <w:t xml:space="preserve"> </w:t>
            </w:r>
            <w:proofErr w:type="spellStart"/>
            <w:r>
              <w:rPr>
                <w:b/>
                <w:color w:val="000000"/>
              </w:rPr>
              <w:t>k</w:t>
            </w:r>
            <w:r w:rsidR="00B77BA8">
              <w:rPr>
                <w:b/>
                <w:color w:val="000000"/>
              </w:rPr>
              <w:t>€HT</w:t>
            </w:r>
            <w:proofErr w:type="spellEnd"/>
            <w:r w:rsidR="00B77BA8">
              <w:rPr>
                <w:b/>
                <w:color w:val="000000"/>
              </w:rPr>
              <w:t xml:space="preserve"> </w:t>
            </w:r>
          </w:p>
          <w:p w:rsidR="00976E54" w:rsidRDefault="00B77BA8">
            <w:pPr>
              <w:pBdr>
                <w:top w:val="nil"/>
                <w:left w:val="nil"/>
                <w:bottom w:val="nil"/>
                <w:right w:val="nil"/>
                <w:between w:val="nil"/>
              </w:pBdr>
              <w:rPr>
                <w:color w:val="000000"/>
              </w:rPr>
            </w:pPr>
            <w:r>
              <w:rPr>
                <w:rFonts w:ascii="MS Gothic" w:eastAsia="MS Gothic" w:hAnsi="MS Gothic" w:cs="MS Gothic"/>
                <w:color w:val="000000"/>
              </w:rPr>
              <w:t>☐</w:t>
            </w:r>
            <w:r>
              <w:rPr>
                <w:color w:val="000000"/>
              </w:rPr>
              <w:t>A indiquer dans l’AAPC</w:t>
            </w:r>
          </w:p>
          <w:p w:rsidR="00976E54" w:rsidRDefault="00241B35" w:rsidP="00241B35">
            <w:pPr>
              <w:pBdr>
                <w:top w:val="nil"/>
                <w:left w:val="nil"/>
                <w:bottom w:val="nil"/>
                <w:right w:val="nil"/>
                <w:between w:val="nil"/>
              </w:pBdr>
              <w:rPr>
                <w:color w:val="000000"/>
              </w:rPr>
            </w:pPr>
            <w:proofErr w:type="spellStart"/>
            <w:r>
              <w:rPr>
                <w:rFonts w:ascii="MS Gothic" w:eastAsia="MS Gothic" w:hAnsi="MS Gothic" w:cs="MS Gothic"/>
                <w:color w:val="000000"/>
                <w:highlight w:val="yellow"/>
              </w:rPr>
              <w:t>x</w:t>
            </w:r>
            <w:r w:rsidR="00B77BA8">
              <w:rPr>
                <w:color w:val="000000"/>
              </w:rPr>
              <w:t>Ne</w:t>
            </w:r>
            <w:proofErr w:type="spellEnd"/>
            <w:r w:rsidR="00B77BA8">
              <w:rPr>
                <w:color w:val="000000"/>
              </w:rPr>
              <w:t xml:space="preserve"> pas l’indiquer dans l’AAPC</w:t>
            </w:r>
          </w:p>
        </w:tc>
      </w:tr>
      <w:tr w:rsidR="00976E54">
        <w:tc>
          <w:tcPr>
            <w:tcW w:w="3331" w:type="dxa"/>
          </w:tcPr>
          <w:p w:rsidR="00976E54" w:rsidRDefault="00B77BA8">
            <w:pPr>
              <w:rPr>
                <w:b/>
              </w:rPr>
            </w:pPr>
            <w:r>
              <w:rPr>
                <w:b/>
              </w:rPr>
              <w:t>Prix</w:t>
            </w:r>
          </w:p>
        </w:tc>
        <w:tc>
          <w:tcPr>
            <w:tcW w:w="5881" w:type="dxa"/>
          </w:tcPr>
          <w:p w:rsidR="00976E54" w:rsidRDefault="00241B35">
            <w:pPr>
              <w:pBdr>
                <w:top w:val="nil"/>
                <w:left w:val="nil"/>
                <w:bottom w:val="nil"/>
                <w:right w:val="nil"/>
                <w:between w:val="nil"/>
              </w:pBdr>
              <w:rPr>
                <w:color w:val="000000"/>
              </w:rPr>
            </w:pPr>
            <w:proofErr w:type="spellStart"/>
            <w:proofErr w:type="gramStart"/>
            <w:r w:rsidRPr="00241B35">
              <w:rPr>
                <w:rFonts w:ascii="MS Gothic" w:eastAsia="MS Gothic" w:hAnsi="MS Gothic" w:cs="MS Gothic"/>
                <w:color w:val="000000"/>
                <w:highlight w:val="yellow"/>
              </w:rPr>
              <w:t>x</w:t>
            </w:r>
            <w:r w:rsidR="00B77BA8">
              <w:rPr>
                <w:color w:val="000000"/>
              </w:rPr>
              <w:t>Globale</w:t>
            </w:r>
            <w:proofErr w:type="spellEnd"/>
            <w:proofErr w:type="gramEnd"/>
            <w:r w:rsidR="00B77BA8">
              <w:rPr>
                <w:color w:val="000000"/>
              </w:rPr>
              <w:t xml:space="preserve"> et forfaitaires (= UN prix - DPGF)</w:t>
            </w:r>
          </w:p>
          <w:p w:rsidR="00976E54" w:rsidRDefault="00B77BA8">
            <w:pPr>
              <w:pBdr>
                <w:top w:val="nil"/>
                <w:left w:val="nil"/>
                <w:bottom w:val="nil"/>
                <w:right w:val="nil"/>
                <w:between w:val="nil"/>
              </w:pBdr>
              <w:rPr>
                <w:color w:val="000000"/>
              </w:rPr>
            </w:pPr>
            <w:r>
              <w:rPr>
                <w:rFonts w:ascii="MS Gothic" w:eastAsia="MS Gothic" w:hAnsi="MS Gothic" w:cs="MS Gothic"/>
                <w:color w:val="000000"/>
              </w:rPr>
              <w:t>☐</w:t>
            </w:r>
            <w:r>
              <w:rPr>
                <w:color w:val="000000"/>
              </w:rPr>
              <w:t>Unitaires (= catalogue de prix -BPU)</w:t>
            </w:r>
          </w:p>
          <w:p w:rsidR="00976E54" w:rsidRDefault="00B77BA8">
            <w:pPr>
              <w:pBdr>
                <w:top w:val="nil"/>
                <w:left w:val="nil"/>
                <w:bottom w:val="nil"/>
                <w:right w:val="nil"/>
                <w:between w:val="nil"/>
              </w:pBdr>
              <w:rPr>
                <w:color w:val="000000"/>
              </w:rPr>
            </w:pPr>
            <w:r>
              <w:rPr>
                <w:rFonts w:ascii="MS Gothic" w:eastAsia="MS Gothic" w:hAnsi="MS Gothic" w:cs="MS Gothic"/>
                <w:color w:val="000000"/>
              </w:rPr>
              <w:t>☐</w:t>
            </w:r>
            <w:r>
              <w:rPr>
                <w:color w:val="000000"/>
              </w:rPr>
              <w:t>Mixtes</w:t>
            </w:r>
          </w:p>
          <w:p w:rsidR="00976E54" w:rsidRDefault="00B77BA8">
            <w:pPr>
              <w:jc w:val="both"/>
              <w:rPr>
                <w:i/>
                <w:color w:val="0070C0"/>
                <w:sz w:val="20"/>
                <w:szCs w:val="20"/>
              </w:rPr>
            </w:pPr>
            <w:r>
              <w:rPr>
                <w:i/>
                <w:color w:val="0070C0"/>
                <w:sz w:val="20"/>
                <w:szCs w:val="20"/>
              </w:rPr>
              <w:t>Les BPU instaurent une partie à Bon de commande : prix unitaires fixés préalablement (technique d’achat en cas d’incertitude ou méconnaissance des quantités à commander).</w:t>
            </w:r>
          </w:p>
          <w:p w:rsidR="00976E54" w:rsidRDefault="00B77BA8">
            <w:pPr>
              <w:jc w:val="both"/>
              <w:rPr>
                <w:i/>
                <w:color w:val="0070C0"/>
                <w:sz w:val="20"/>
                <w:szCs w:val="20"/>
              </w:rPr>
            </w:pPr>
            <w:r>
              <w:rPr>
                <w:i/>
                <w:color w:val="0070C0"/>
                <w:sz w:val="20"/>
                <w:szCs w:val="20"/>
              </w:rPr>
              <w:t xml:space="preserve">ATTENTION en cas de BPU : </w:t>
            </w:r>
          </w:p>
          <w:p w:rsidR="00976E54" w:rsidRDefault="00B77BA8">
            <w:pPr>
              <w:numPr>
                <w:ilvl w:val="0"/>
                <w:numId w:val="1"/>
              </w:numPr>
              <w:pBdr>
                <w:top w:val="nil"/>
                <w:left w:val="nil"/>
                <w:bottom w:val="nil"/>
                <w:right w:val="nil"/>
                <w:between w:val="nil"/>
              </w:pBdr>
              <w:spacing w:line="276" w:lineRule="auto"/>
              <w:jc w:val="both"/>
              <w:rPr>
                <w:i/>
                <w:color w:val="0070C0"/>
                <w:sz w:val="20"/>
                <w:szCs w:val="20"/>
              </w:rPr>
            </w:pPr>
            <w:r>
              <w:rPr>
                <w:i/>
                <w:color w:val="0070C0"/>
                <w:sz w:val="20"/>
                <w:szCs w:val="20"/>
              </w:rPr>
              <w:t>l’indication d’un montant minimum engage l’acheteur sur une quantité minimale de commande</w:t>
            </w:r>
          </w:p>
          <w:p w:rsidR="00976E54" w:rsidRDefault="00B77BA8">
            <w:pPr>
              <w:numPr>
                <w:ilvl w:val="0"/>
                <w:numId w:val="1"/>
              </w:numPr>
              <w:pBdr>
                <w:top w:val="nil"/>
                <w:left w:val="nil"/>
                <w:bottom w:val="nil"/>
                <w:right w:val="nil"/>
                <w:between w:val="nil"/>
              </w:pBdr>
              <w:spacing w:line="276" w:lineRule="auto"/>
              <w:jc w:val="both"/>
              <w:rPr>
                <w:i/>
                <w:color w:val="0070C0"/>
                <w:sz w:val="20"/>
                <w:szCs w:val="20"/>
              </w:rPr>
            </w:pPr>
            <w:r>
              <w:rPr>
                <w:i/>
                <w:color w:val="0070C0"/>
                <w:sz w:val="20"/>
                <w:szCs w:val="20"/>
              </w:rPr>
              <w:t>l’indication d’un montant maximal engage l’acheteur sur une limite quantifiée de commande à partir de laquelle le contrat s’arrête.</w:t>
            </w:r>
          </w:p>
          <w:p w:rsidR="00976E54" w:rsidRDefault="00B77BA8">
            <w:pPr>
              <w:numPr>
                <w:ilvl w:val="0"/>
                <w:numId w:val="1"/>
              </w:numPr>
              <w:pBdr>
                <w:top w:val="nil"/>
                <w:left w:val="nil"/>
                <w:bottom w:val="nil"/>
                <w:right w:val="nil"/>
                <w:between w:val="nil"/>
              </w:pBdr>
              <w:spacing w:after="200" w:line="276" w:lineRule="auto"/>
              <w:jc w:val="both"/>
              <w:rPr>
                <w:i/>
                <w:color w:val="0070C0"/>
                <w:sz w:val="20"/>
                <w:szCs w:val="20"/>
              </w:rPr>
            </w:pPr>
            <w:r>
              <w:rPr>
                <w:i/>
                <w:color w:val="0070C0"/>
                <w:sz w:val="20"/>
                <w:szCs w:val="20"/>
              </w:rPr>
              <w:t xml:space="preserve">L’absence d’indication d’un montant  maximum emporte obligation de recourir à une procédure formalisée   </w:t>
            </w:r>
          </w:p>
        </w:tc>
      </w:tr>
      <w:tr w:rsidR="00976E54">
        <w:tc>
          <w:tcPr>
            <w:tcW w:w="3331" w:type="dxa"/>
          </w:tcPr>
          <w:p w:rsidR="00976E54" w:rsidRDefault="00B77BA8">
            <w:pPr>
              <w:rPr>
                <w:b/>
              </w:rPr>
            </w:pPr>
            <w:r>
              <w:rPr>
                <w:b/>
              </w:rPr>
              <w:t>Documents du DCE </w:t>
            </w:r>
          </w:p>
        </w:tc>
        <w:tc>
          <w:tcPr>
            <w:tcW w:w="5881" w:type="dxa"/>
          </w:tcPr>
          <w:p w:rsidR="00976E54" w:rsidRDefault="00241B35">
            <w:pPr>
              <w:pBdr>
                <w:top w:val="nil"/>
                <w:left w:val="nil"/>
                <w:bottom w:val="nil"/>
                <w:right w:val="nil"/>
                <w:between w:val="nil"/>
              </w:pBdr>
              <w:rPr>
                <w:color w:val="000000"/>
              </w:rPr>
            </w:pPr>
            <w:proofErr w:type="gramStart"/>
            <w:r>
              <w:rPr>
                <w:rFonts w:ascii="MS Gothic" w:eastAsia="MS Gothic" w:hAnsi="MS Gothic" w:cs="MS Gothic"/>
                <w:color w:val="000000"/>
              </w:rPr>
              <w:t>x</w:t>
            </w:r>
            <w:proofErr w:type="gramEnd"/>
            <w:r w:rsidR="00B77BA8">
              <w:rPr>
                <w:color w:val="000000"/>
              </w:rPr>
              <w:t xml:space="preserve"> Règlement de consultation</w:t>
            </w:r>
          </w:p>
          <w:p w:rsidR="00976E54" w:rsidRDefault="00241B35">
            <w:pPr>
              <w:pBdr>
                <w:top w:val="nil"/>
                <w:left w:val="nil"/>
                <w:bottom w:val="nil"/>
                <w:right w:val="nil"/>
                <w:between w:val="nil"/>
              </w:pBdr>
              <w:rPr>
                <w:color w:val="000000"/>
              </w:rPr>
            </w:pPr>
            <w:proofErr w:type="gramStart"/>
            <w:r>
              <w:rPr>
                <w:rFonts w:ascii="MS Gothic" w:eastAsia="MS Gothic" w:hAnsi="MS Gothic" w:cs="MS Gothic"/>
                <w:color w:val="000000"/>
              </w:rPr>
              <w:t>x</w:t>
            </w:r>
            <w:proofErr w:type="gramEnd"/>
            <w:r w:rsidR="00B77BA8">
              <w:rPr>
                <w:color w:val="000000"/>
              </w:rPr>
              <w:t xml:space="preserve"> Conditions Particulières du Contrat</w:t>
            </w:r>
          </w:p>
          <w:p w:rsidR="00976E54" w:rsidRDefault="00241B35">
            <w:pPr>
              <w:pBdr>
                <w:top w:val="nil"/>
                <w:left w:val="nil"/>
                <w:bottom w:val="nil"/>
                <w:right w:val="nil"/>
                <w:between w:val="nil"/>
              </w:pBdr>
              <w:rPr>
                <w:color w:val="000000"/>
              </w:rPr>
            </w:pPr>
            <w:proofErr w:type="gramStart"/>
            <w:r>
              <w:rPr>
                <w:rFonts w:ascii="MS Gothic" w:eastAsia="MS Gothic" w:hAnsi="MS Gothic" w:cs="MS Gothic"/>
                <w:color w:val="000000"/>
              </w:rPr>
              <w:t>x</w:t>
            </w:r>
            <w:proofErr w:type="gramEnd"/>
            <w:r w:rsidR="00B77BA8">
              <w:rPr>
                <w:color w:val="000000"/>
              </w:rPr>
              <w:t xml:space="preserve"> Conditions Générales du Contrat</w:t>
            </w:r>
          </w:p>
          <w:p w:rsidR="00976E54" w:rsidRDefault="00241B35">
            <w:pPr>
              <w:pBdr>
                <w:top w:val="nil"/>
                <w:left w:val="nil"/>
                <w:bottom w:val="nil"/>
                <w:right w:val="nil"/>
                <w:between w:val="nil"/>
              </w:pBdr>
              <w:rPr>
                <w:color w:val="000000"/>
              </w:rPr>
            </w:pPr>
            <w:proofErr w:type="gramStart"/>
            <w:r>
              <w:rPr>
                <w:rFonts w:ascii="MS Gothic" w:eastAsia="MS Gothic" w:hAnsi="MS Gothic" w:cs="MS Gothic"/>
                <w:color w:val="000000"/>
              </w:rPr>
              <w:t>x</w:t>
            </w:r>
            <w:proofErr w:type="gramEnd"/>
            <w:r w:rsidR="00B77BA8">
              <w:rPr>
                <w:color w:val="000000"/>
              </w:rPr>
              <w:t xml:space="preserve"> Conditions Techniques du Contrat</w:t>
            </w:r>
          </w:p>
          <w:p w:rsidR="00976E54" w:rsidRDefault="00241B35">
            <w:pPr>
              <w:pBdr>
                <w:top w:val="nil"/>
                <w:left w:val="nil"/>
                <w:bottom w:val="nil"/>
                <w:right w:val="nil"/>
                <w:between w:val="nil"/>
              </w:pBdr>
              <w:rPr>
                <w:color w:val="000000"/>
              </w:rPr>
            </w:pPr>
            <w:proofErr w:type="gramStart"/>
            <w:r>
              <w:rPr>
                <w:rFonts w:ascii="MS Gothic" w:eastAsia="MS Gothic" w:hAnsi="MS Gothic" w:cs="MS Gothic"/>
                <w:color w:val="000000"/>
              </w:rPr>
              <w:t>x</w:t>
            </w:r>
            <w:proofErr w:type="gramEnd"/>
            <w:r w:rsidR="00B77BA8">
              <w:rPr>
                <w:color w:val="000000"/>
              </w:rPr>
              <w:t xml:space="preserve"> DPGF (Décomposition du Prix Global et Forfaitaire)</w:t>
            </w:r>
          </w:p>
          <w:p w:rsidR="00241B35" w:rsidRDefault="00241B35" w:rsidP="00241B35">
            <w:pPr>
              <w:pStyle w:val="Paragraphedeliste"/>
              <w:numPr>
                <w:ilvl w:val="0"/>
                <w:numId w:val="2"/>
              </w:numPr>
              <w:rPr>
                <w:b/>
                <w:highlight w:val="yellow"/>
              </w:rPr>
            </w:pPr>
            <w:r>
              <w:rPr>
                <w:b/>
                <w:highlight w:val="yellow"/>
              </w:rPr>
              <w:t xml:space="preserve">Annexe 1 : Plan GC du bâtiment </w:t>
            </w:r>
          </w:p>
          <w:p w:rsidR="00241B35" w:rsidRDefault="00241B35" w:rsidP="00241B35">
            <w:pPr>
              <w:pStyle w:val="Paragraphedeliste"/>
              <w:numPr>
                <w:ilvl w:val="0"/>
                <w:numId w:val="2"/>
              </w:numPr>
              <w:rPr>
                <w:b/>
                <w:highlight w:val="yellow"/>
              </w:rPr>
            </w:pPr>
            <w:r>
              <w:rPr>
                <w:b/>
                <w:highlight w:val="yellow"/>
              </w:rPr>
              <w:t xml:space="preserve">Annexe 2 : plan général d’implantation des équipements </w:t>
            </w:r>
          </w:p>
          <w:p w:rsidR="00241B35" w:rsidRDefault="00241B35" w:rsidP="00241B35">
            <w:pPr>
              <w:pStyle w:val="Paragraphedeliste"/>
              <w:numPr>
                <w:ilvl w:val="0"/>
                <w:numId w:val="2"/>
              </w:numPr>
              <w:rPr>
                <w:b/>
              </w:rPr>
            </w:pPr>
            <w:r>
              <w:rPr>
                <w:b/>
                <w:highlight w:val="yellow"/>
              </w:rPr>
              <w:t>Annexe 3 : PID général chaufferie</w:t>
            </w:r>
          </w:p>
          <w:p w:rsidR="00241B35" w:rsidRDefault="00241B35">
            <w:pPr>
              <w:pBdr>
                <w:top w:val="nil"/>
                <w:left w:val="nil"/>
                <w:bottom w:val="nil"/>
                <w:right w:val="nil"/>
                <w:between w:val="nil"/>
              </w:pBdr>
              <w:rPr>
                <w:color w:val="000000"/>
              </w:rPr>
            </w:pPr>
          </w:p>
          <w:p w:rsidR="00976E54" w:rsidRDefault="00B77BA8">
            <w:pPr>
              <w:pBdr>
                <w:top w:val="nil"/>
                <w:left w:val="nil"/>
                <w:bottom w:val="nil"/>
                <w:right w:val="nil"/>
                <w:between w:val="nil"/>
              </w:pBdr>
              <w:jc w:val="both"/>
              <w:rPr>
                <w:color w:val="000000"/>
              </w:rPr>
            </w:pPr>
            <w:r>
              <w:rPr>
                <w:i/>
                <w:color w:val="0070C0"/>
                <w:sz w:val="20"/>
                <w:szCs w:val="20"/>
              </w:rPr>
              <w:t xml:space="preserve">Le DQE est un document de </w:t>
            </w:r>
            <w:r>
              <w:rPr>
                <w:i/>
                <w:color w:val="0070C0"/>
                <w:sz w:val="20"/>
                <w:szCs w:val="20"/>
                <w:u w:val="single"/>
              </w:rPr>
              <w:t>consultation (et non contractuel)</w:t>
            </w:r>
            <w:r>
              <w:rPr>
                <w:i/>
                <w:color w:val="0070C0"/>
                <w:sz w:val="20"/>
                <w:szCs w:val="20"/>
              </w:rPr>
              <w:t xml:space="preserve"> consistant en une commande fictive permettant d’appliquer la formule d’analyse de prix sur un montant total.</w:t>
            </w:r>
          </w:p>
        </w:tc>
      </w:tr>
    </w:tbl>
    <w:tbl>
      <w:tblPr>
        <w:tblStyle w:val="a9"/>
        <w:tblW w:w="10104" w:type="dxa"/>
        <w:tblInd w:w="0" w:type="dxa"/>
        <w:tblLayout w:type="fixed"/>
        <w:tblLook w:val="0000" w:firstRow="0" w:lastRow="0" w:firstColumn="0" w:lastColumn="0" w:noHBand="0" w:noVBand="0"/>
      </w:tblPr>
      <w:tblGrid>
        <w:gridCol w:w="8138"/>
        <w:gridCol w:w="1966"/>
      </w:tblGrid>
      <w:tr w:rsidR="00976E54">
        <w:trPr>
          <w:trHeight w:val="305"/>
        </w:trPr>
        <w:tc>
          <w:tcPr>
            <w:tcW w:w="8138" w:type="dxa"/>
            <w:tcBorders>
              <w:top w:val="single" w:sz="6" w:space="0" w:color="000000"/>
              <w:left w:val="single" w:sz="6" w:space="0" w:color="000000"/>
              <w:bottom w:val="single" w:sz="6" w:space="0" w:color="000000"/>
              <w:right w:val="single" w:sz="6" w:space="0" w:color="000000"/>
            </w:tcBorders>
          </w:tcPr>
          <w:p w:rsidR="00976E54" w:rsidRDefault="00B77BA8">
            <w:pPr>
              <w:jc w:val="center"/>
              <w:rPr>
                <w:b/>
                <w:color w:val="000000"/>
              </w:rPr>
            </w:pPr>
            <w:r>
              <w:rPr>
                <w:b/>
                <w:color w:val="000000"/>
              </w:rPr>
              <w:lastRenderedPageBreak/>
              <w:t>PROCEDURE A</w:t>
            </w:r>
            <w:r>
              <w:rPr>
                <w:b/>
              </w:rPr>
              <w:t>DAPTEE</w:t>
            </w:r>
          </w:p>
        </w:tc>
        <w:tc>
          <w:tcPr>
            <w:tcW w:w="1966" w:type="dxa"/>
            <w:tcBorders>
              <w:top w:val="single" w:sz="6" w:space="0" w:color="000000"/>
              <w:left w:val="single" w:sz="6" w:space="0" w:color="000000"/>
              <w:bottom w:val="single" w:sz="6" w:space="0" w:color="000000"/>
              <w:right w:val="single" w:sz="6" w:space="0" w:color="000000"/>
            </w:tcBorders>
          </w:tcPr>
          <w:p w:rsidR="00976E54" w:rsidRDefault="00976E54">
            <w:pPr>
              <w:jc w:val="center"/>
              <w:rPr>
                <w:b/>
                <w:color w:val="000000"/>
              </w:rPr>
            </w:pPr>
          </w:p>
        </w:tc>
      </w:tr>
      <w:tr w:rsidR="00976E54">
        <w:trPr>
          <w:trHeight w:val="290"/>
        </w:trPr>
        <w:tc>
          <w:tcPr>
            <w:tcW w:w="8138" w:type="dxa"/>
            <w:tcBorders>
              <w:top w:val="single" w:sz="6" w:space="0" w:color="000000"/>
              <w:left w:val="single" w:sz="6" w:space="0" w:color="000000"/>
              <w:bottom w:val="single" w:sz="6" w:space="0" w:color="000000"/>
              <w:right w:val="single" w:sz="6" w:space="0" w:color="000000"/>
            </w:tcBorders>
          </w:tcPr>
          <w:p w:rsidR="00976E54" w:rsidRDefault="00B77BA8">
            <w:pPr>
              <w:jc w:val="center"/>
              <w:rPr>
                <w:i/>
                <w:color w:val="00CCFF"/>
              </w:rPr>
            </w:pPr>
            <w:r>
              <w:rPr>
                <w:i/>
                <w:color w:val="00CCFF"/>
              </w:rPr>
              <w:t>Définition des besoins / choix de la procédure/ Rédaction des pièces</w:t>
            </w:r>
          </w:p>
        </w:tc>
        <w:tc>
          <w:tcPr>
            <w:tcW w:w="1966" w:type="dxa"/>
            <w:tcBorders>
              <w:top w:val="single" w:sz="6" w:space="0" w:color="000000"/>
              <w:left w:val="single" w:sz="6" w:space="0" w:color="000000"/>
              <w:bottom w:val="single" w:sz="6" w:space="0" w:color="000000"/>
              <w:right w:val="single" w:sz="6" w:space="0" w:color="000000"/>
            </w:tcBorders>
          </w:tcPr>
          <w:p w:rsidR="00976E54" w:rsidRDefault="00976E54">
            <w:pPr>
              <w:jc w:val="right"/>
              <w:rPr>
                <w:color w:val="000000"/>
              </w:rPr>
            </w:pPr>
          </w:p>
        </w:tc>
      </w:tr>
      <w:tr w:rsidR="00976E54">
        <w:trPr>
          <w:trHeight w:val="290"/>
        </w:trPr>
        <w:tc>
          <w:tcPr>
            <w:tcW w:w="8138" w:type="dxa"/>
            <w:tcBorders>
              <w:top w:val="single" w:sz="6" w:space="0" w:color="000000"/>
              <w:left w:val="single" w:sz="6" w:space="0" w:color="000000"/>
              <w:right w:val="single" w:sz="6" w:space="0" w:color="000000"/>
            </w:tcBorders>
            <w:vAlign w:val="center"/>
          </w:tcPr>
          <w:p w:rsidR="00976E54" w:rsidRDefault="00B77BA8">
            <w:pPr>
              <w:rPr>
                <w:color w:val="000000"/>
              </w:rPr>
            </w:pPr>
            <w:r>
              <w:rPr>
                <w:color w:val="000000"/>
              </w:rPr>
              <w:t>Date d'envoi de l'AAPC</w:t>
            </w:r>
          </w:p>
        </w:tc>
        <w:tc>
          <w:tcPr>
            <w:tcW w:w="1966" w:type="dxa"/>
            <w:tcBorders>
              <w:top w:val="single" w:sz="6" w:space="0" w:color="000000"/>
              <w:left w:val="single" w:sz="6" w:space="0" w:color="000000"/>
              <w:bottom w:val="single" w:sz="6" w:space="0" w:color="000000"/>
              <w:right w:val="single" w:sz="6" w:space="0" w:color="000000"/>
            </w:tcBorders>
          </w:tcPr>
          <w:p w:rsidR="00976E54" w:rsidRDefault="00241B35">
            <w:pPr>
              <w:jc w:val="right"/>
              <w:rPr>
                <w:color w:val="000000"/>
              </w:rPr>
            </w:pPr>
            <w:r>
              <w:rPr>
                <w:color w:val="000000"/>
              </w:rPr>
              <w:t>14/09/23</w:t>
            </w:r>
          </w:p>
        </w:tc>
      </w:tr>
      <w:tr w:rsidR="00976E54">
        <w:trPr>
          <w:trHeight w:val="290"/>
        </w:trPr>
        <w:tc>
          <w:tcPr>
            <w:tcW w:w="8138" w:type="dxa"/>
            <w:tcBorders>
              <w:top w:val="single" w:sz="6" w:space="0" w:color="000000"/>
              <w:left w:val="single" w:sz="6" w:space="0" w:color="000000"/>
              <w:right w:val="single" w:sz="6" w:space="0" w:color="000000"/>
            </w:tcBorders>
            <w:vAlign w:val="center"/>
          </w:tcPr>
          <w:p w:rsidR="00976E54" w:rsidRDefault="00B77BA8">
            <w:pPr>
              <w:rPr>
                <w:color w:val="000000"/>
              </w:rPr>
            </w:pPr>
            <w:r>
              <w:rPr>
                <w:color w:val="000000"/>
              </w:rPr>
              <w:t xml:space="preserve">Date limites de réception des offres </w:t>
            </w:r>
          </w:p>
        </w:tc>
        <w:tc>
          <w:tcPr>
            <w:tcW w:w="1966" w:type="dxa"/>
            <w:tcBorders>
              <w:top w:val="single" w:sz="6" w:space="0" w:color="000000"/>
              <w:left w:val="single" w:sz="6" w:space="0" w:color="000000"/>
              <w:bottom w:val="single" w:sz="6" w:space="0" w:color="000000"/>
              <w:right w:val="single" w:sz="6" w:space="0" w:color="000000"/>
            </w:tcBorders>
          </w:tcPr>
          <w:p w:rsidR="00976E54" w:rsidRDefault="009D7892">
            <w:pPr>
              <w:jc w:val="right"/>
              <w:rPr>
                <w:color w:val="000000"/>
              </w:rPr>
            </w:pPr>
            <w:r>
              <w:rPr>
                <w:color w:val="000000"/>
              </w:rPr>
              <w:t>29/09/23</w:t>
            </w:r>
          </w:p>
        </w:tc>
      </w:tr>
      <w:tr w:rsidR="00976E54">
        <w:trPr>
          <w:trHeight w:val="290"/>
        </w:trPr>
        <w:tc>
          <w:tcPr>
            <w:tcW w:w="8138" w:type="dxa"/>
            <w:tcBorders>
              <w:top w:val="single" w:sz="6" w:space="0" w:color="000000"/>
              <w:left w:val="single" w:sz="6" w:space="0" w:color="000000"/>
              <w:right w:val="single" w:sz="6" w:space="0" w:color="000000"/>
            </w:tcBorders>
            <w:vAlign w:val="center"/>
          </w:tcPr>
          <w:p w:rsidR="00976E54" w:rsidRDefault="00B77BA8">
            <w:pPr>
              <w:rPr>
                <w:color w:val="000000"/>
              </w:rPr>
            </w:pPr>
            <w:r>
              <w:rPr>
                <w:color w:val="000000"/>
              </w:rPr>
              <w:t xml:space="preserve">Signature du contrat </w:t>
            </w:r>
          </w:p>
        </w:tc>
        <w:tc>
          <w:tcPr>
            <w:tcW w:w="1966" w:type="dxa"/>
            <w:tcBorders>
              <w:top w:val="single" w:sz="6" w:space="0" w:color="000000"/>
              <w:left w:val="single" w:sz="6" w:space="0" w:color="000000"/>
              <w:bottom w:val="single" w:sz="6" w:space="0" w:color="000000"/>
              <w:right w:val="single" w:sz="6" w:space="0" w:color="000000"/>
            </w:tcBorders>
          </w:tcPr>
          <w:p w:rsidR="00976E54" w:rsidRDefault="009D7892">
            <w:pPr>
              <w:jc w:val="right"/>
              <w:rPr>
                <w:color w:val="000000"/>
              </w:rPr>
            </w:pPr>
            <w:r>
              <w:rPr>
                <w:color w:val="000000"/>
              </w:rPr>
              <w:t>16/10/23</w:t>
            </w:r>
          </w:p>
        </w:tc>
      </w:tr>
      <w:tr w:rsidR="00976E54">
        <w:trPr>
          <w:trHeight w:val="290"/>
        </w:trPr>
        <w:tc>
          <w:tcPr>
            <w:tcW w:w="8138" w:type="dxa"/>
            <w:tcBorders>
              <w:top w:val="single" w:sz="6" w:space="0" w:color="000000"/>
              <w:left w:val="single" w:sz="6" w:space="0" w:color="000000"/>
              <w:bottom w:val="single" w:sz="6" w:space="0" w:color="000000"/>
              <w:right w:val="single" w:sz="6" w:space="0" w:color="000000"/>
            </w:tcBorders>
          </w:tcPr>
          <w:p w:rsidR="00976E54" w:rsidRDefault="00B77BA8">
            <w:pPr>
              <w:jc w:val="center"/>
              <w:rPr>
                <w:i/>
                <w:color w:val="00CCFF"/>
              </w:rPr>
            </w:pPr>
            <w:r>
              <w:rPr>
                <w:i/>
                <w:color w:val="00CCFF"/>
              </w:rPr>
              <w:t xml:space="preserve">Date prévisionnelle de démarrage des prestations </w:t>
            </w:r>
          </w:p>
        </w:tc>
        <w:tc>
          <w:tcPr>
            <w:tcW w:w="1966" w:type="dxa"/>
            <w:tcBorders>
              <w:top w:val="single" w:sz="6" w:space="0" w:color="000000"/>
              <w:left w:val="single" w:sz="6" w:space="0" w:color="000000"/>
              <w:bottom w:val="single" w:sz="6" w:space="0" w:color="000000"/>
              <w:right w:val="single" w:sz="6" w:space="0" w:color="000000"/>
            </w:tcBorders>
          </w:tcPr>
          <w:p w:rsidR="00976E54" w:rsidRDefault="009D7892">
            <w:pPr>
              <w:jc w:val="right"/>
              <w:rPr>
                <w:color w:val="000000"/>
              </w:rPr>
            </w:pPr>
            <w:r>
              <w:rPr>
                <w:color w:val="000000"/>
              </w:rPr>
              <w:t>A définir</w:t>
            </w:r>
          </w:p>
        </w:tc>
      </w:tr>
    </w:tbl>
    <w:p w:rsidR="00976E54" w:rsidRDefault="00976E54">
      <w:pPr>
        <w:rPr>
          <w:b/>
        </w:rPr>
      </w:pPr>
    </w:p>
    <w:p w:rsidR="00976E54" w:rsidRDefault="00976E54">
      <w:pPr>
        <w:rPr>
          <w:b/>
        </w:rPr>
      </w:pPr>
    </w:p>
    <w:p w:rsidR="00976E54" w:rsidRDefault="00B77BA8">
      <w:pPr>
        <w:rPr>
          <w:b/>
        </w:rPr>
      </w:pPr>
      <w:r>
        <w:rPr>
          <w:b/>
        </w:rPr>
        <w:t>Remarques :</w:t>
      </w:r>
    </w:p>
    <w:p w:rsidR="00B77BA8" w:rsidRPr="00B77BA8" w:rsidRDefault="00B77BA8" w:rsidP="00B77BA8">
      <w:pPr>
        <w:pStyle w:val="Paragraphedeliste"/>
        <w:numPr>
          <w:ilvl w:val="0"/>
          <w:numId w:val="1"/>
        </w:numPr>
        <w:rPr>
          <w:b/>
        </w:rPr>
      </w:pPr>
      <w:r>
        <w:rPr>
          <w:b/>
        </w:rPr>
        <w:t>ATTENTION AUX SEUILS : inférieur à 5 350k€ en travaux et 428k€ en fournitures et services</w:t>
      </w:r>
    </w:p>
    <w:p w:rsidR="00976E54" w:rsidRDefault="00B77BA8">
      <w:pPr>
        <w:numPr>
          <w:ilvl w:val="0"/>
          <w:numId w:val="1"/>
        </w:numPr>
        <w:pBdr>
          <w:top w:val="nil"/>
          <w:left w:val="nil"/>
          <w:bottom w:val="nil"/>
          <w:right w:val="nil"/>
          <w:between w:val="nil"/>
        </w:pBdr>
        <w:spacing w:after="0"/>
        <w:rPr>
          <w:b/>
          <w:color w:val="000000"/>
        </w:rPr>
      </w:pPr>
      <w:bookmarkStart w:id="0" w:name="_heading=h.30j0zll" w:colFirst="0" w:colLast="0"/>
      <w:bookmarkEnd w:id="0"/>
      <w:r>
        <w:rPr>
          <w:b/>
          <w:color w:val="000000"/>
        </w:rPr>
        <w:t xml:space="preserve">Pas d’obligation de publier au JOUE (mais c’est une possibilité), publication obligatoire </w:t>
      </w:r>
      <w:r>
        <w:rPr>
          <w:b/>
        </w:rPr>
        <w:t>néanmoins</w:t>
      </w:r>
    </w:p>
    <w:p w:rsidR="00976E54" w:rsidRDefault="00B77BA8">
      <w:pPr>
        <w:numPr>
          <w:ilvl w:val="0"/>
          <w:numId w:val="1"/>
        </w:numPr>
        <w:pBdr>
          <w:top w:val="nil"/>
          <w:left w:val="nil"/>
          <w:bottom w:val="nil"/>
          <w:right w:val="nil"/>
          <w:between w:val="nil"/>
        </w:pBdr>
        <w:spacing w:after="0"/>
        <w:rPr>
          <w:b/>
          <w:color w:val="000000"/>
        </w:rPr>
      </w:pPr>
      <w:r>
        <w:rPr>
          <w:b/>
          <w:color w:val="000000"/>
        </w:rPr>
        <w:t xml:space="preserve">Pas de délai de stand </w:t>
      </w:r>
      <w:proofErr w:type="spellStart"/>
      <w:r>
        <w:rPr>
          <w:b/>
          <w:color w:val="000000"/>
        </w:rPr>
        <w:t>still</w:t>
      </w:r>
      <w:proofErr w:type="spellEnd"/>
    </w:p>
    <w:p w:rsidR="00B77BA8" w:rsidRDefault="00B77BA8">
      <w:pPr>
        <w:numPr>
          <w:ilvl w:val="0"/>
          <w:numId w:val="1"/>
        </w:numPr>
        <w:pBdr>
          <w:top w:val="nil"/>
          <w:left w:val="nil"/>
          <w:bottom w:val="nil"/>
          <w:right w:val="nil"/>
          <w:between w:val="nil"/>
        </w:pBdr>
        <w:rPr>
          <w:b/>
          <w:color w:val="000000"/>
        </w:rPr>
      </w:pPr>
      <w:r>
        <w:rPr>
          <w:b/>
          <w:color w:val="000000"/>
        </w:rPr>
        <w:t>Pas d’avis d’attribution</w:t>
      </w:r>
    </w:p>
    <w:p w:rsidR="00976E54" w:rsidRDefault="00B77BA8">
      <w:pPr>
        <w:numPr>
          <w:ilvl w:val="0"/>
          <w:numId w:val="1"/>
        </w:numPr>
        <w:pBdr>
          <w:top w:val="nil"/>
          <w:left w:val="nil"/>
          <w:bottom w:val="nil"/>
          <w:right w:val="nil"/>
          <w:between w:val="nil"/>
        </w:pBdr>
        <w:rPr>
          <w:b/>
          <w:color w:val="000000"/>
        </w:rPr>
      </w:pPr>
      <w:r>
        <w:br w:type="page"/>
      </w:r>
    </w:p>
    <w:tbl>
      <w:tblPr>
        <w:tblStyle w:val="aa"/>
        <w:tblW w:w="9212" w:type="dxa"/>
        <w:tblInd w:w="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31"/>
        <w:gridCol w:w="5881"/>
      </w:tblGrid>
      <w:tr w:rsidR="00976E54">
        <w:tc>
          <w:tcPr>
            <w:tcW w:w="3331" w:type="dxa"/>
          </w:tcPr>
          <w:p w:rsidR="00976E54" w:rsidRDefault="00B77BA8">
            <w:r>
              <w:rPr>
                <w:color w:val="000000"/>
              </w:rPr>
              <w:lastRenderedPageBreak/>
              <w:t>Possibilité d’attribution sur la base des offres initiales sans négociation </w:t>
            </w:r>
          </w:p>
        </w:tc>
        <w:tc>
          <w:tcPr>
            <w:tcW w:w="5881" w:type="dxa"/>
          </w:tcPr>
          <w:p w:rsidR="00976E54" w:rsidRDefault="00B77BA8">
            <w:pPr>
              <w:pBdr>
                <w:top w:val="nil"/>
                <w:left w:val="nil"/>
                <w:bottom w:val="nil"/>
                <w:right w:val="nil"/>
                <w:between w:val="nil"/>
              </w:pBdr>
              <w:rPr>
                <w:color w:val="000000"/>
              </w:rPr>
            </w:pPr>
            <w:r>
              <w:rPr>
                <w:rFonts w:ascii="MS Gothic" w:eastAsia="MS Gothic" w:hAnsi="MS Gothic" w:cs="MS Gothic"/>
                <w:color w:val="000000"/>
              </w:rPr>
              <w:t>☐</w:t>
            </w:r>
            <w:r>
              <w:rPr>
                <w:color w:val="000000"/>
              </w:rPr>
              <w:t>Non</w:t>
            </w:r>
          </w:p>
          <w:p w:rsidR="00976E54" w:rsidRDefault="009D7892">
            <w:pPr>
              <w:pBdr>
                <w:top w:val="nil"/>
                <w:left w:val="nil"/>
                <w:bottom w:val="nil"/>
                <w:right w:val="nil"/>
                <w:between w:val="nil"/>
              </w:pBdr>
              <w:rPr>
                <w:color w:val="000000"/>
              </w:rPr>
            </w:pPr>
            <w:r>
              <w:rPr>
                <w:rFonts w:ascii="MS Gothic" w:eastAsia="MS Gothic" w:hAnsi="MS Gothic" w:cs="MS Gothic"/>
                <w:color w:val="000000"/>
              </w:rPr>
              <w:t xml:space="preserve">X </w:t>
            </w:r>
            <w:r w:rsidR="00B77BA8">
              <w:rPr>
                <w:color w:val="000000"/>
              </w:rPr>
              <w:t xml:space="preserve">Oui </w:t>
            </w:r>
          </w:p>
          <w:p w:rsidR="00976E54" w:rsidRDefault="00B77BA8">
            <w:pPr>
              <w:rPr>
                <w:b/>
              </w:rPr>
            </w:pPr>
            <w:r>
              <w:rPr>
                <w:b/>
                <w:color w:val="FF0000"/>
              </w:rPr>
              <w:t>SI OUI A INSCRIRE A L’AAPC ET/OU RC</w:t>
            </w:r>
          </w:p>
        </w:tc>
      </w:tr>
      <w:tr w:rsidR="00976E54">
        <w:tc>
          <w:tcPr>
            <w:tcW w:w="3331" w:type="dxa"/>
          </w:tcPr>
          <w:p w:rsidR="00976E54" w:rsidRDefault="00B77BA8">
            <w:r>
              <w:rPr>
                <w:color w:val="000000"/>
              </w:rPr>
              <w:t>Lots</w:t>
            </w:r>
          </w:p>
        </w:tc>
        <w:tc>
          <w:tcPr>
            <w:tcW w:w="5881" w:type="dxa"/>
          </w:tcPr>
          <w:p w:rsidR="00976E54" w:rsidRDefault="009D7892">
            <w:pPr>
              <w:pBdr>
                <w:top w:val="nil"/>
                <w:left w:val="nil"/>
                <w:bottom w:val="nil"/>
                <w:right w:val="nil"/>
                <w:between w:val="nil"/>
              </w:pBdr>
              <w:rPr>
                <w:color w:val="000000"/>
              </w:rPr>
            </w:pPr>
            <w:r>
              <w:rPr>
                <w:rFonts w:ascii="MS Gothic" w:eastAsia="MS Gothic" w:hAnsi="MS Gothic" w:cs="MS Gothic"/>
                <w:color w:val="000000"/>
              </w:rPr>
              <w:t xml:space="preserve">X </w:t>
            </w:r>
            <w:r w:rsidR="00B77BA8">
              <w:rPr>
                <w:color w:val="000000"/>
              </w:rPr>
              <w:t>Non</w:t>
            </w:r>
          </w:p>
          <w:p w:rsidR="00976E54" w:rsidRDefault="00B77BA8">
            <w:pPr>
              <w:rPr>
                <w:color w:val="000000"/>
              </w:rPr>
            </w:pPr>
            <w:r>
              <w:rPr>
                <w:rFonts w:ascii="MS Gothic" w:eastAsia="MS Gothic" w:hAnsi="MS Gothic" w:cs="MS Gothic"/>
                <w:color w:val="000000"/>
              </w:rPr>
              <w:t>☐</w:t>
            </w:r>
            <w:r>
              <w:rPr>
                <w:color w:val="000000"/>
              </w:rPr>
              <w:t>Oui </w:t>
            </w:r>
          </w:p>
        </w:tc>
      </w:tr>
      <w:tr w:rsidR="00976E54">
        <w:tc>
          <w:tcPr>
            <w:tcW w:w="3331" w:type="dxa"/>
          </w:tcPr>
          <w:p w:rsidR="00976E54" w:rsidRDefault="00B77BA8">
            <w:r>
              <w:rPr>
                <w:color w:val="000000"/>
              </w:rPr>
              <w:t>Variante(s) </w:t>
            </w:r>
          </w:p>
        </w:tc>
        <w:tc>
          <w:tcPr>
            <w:tcW w:w="5881" w:type="dxa"/>
          </w:tcPr>
          <w:p w:rsidR="00976E54" w:rsidRDefault="009D7892">
            <w:pPr>
              <w:pBdr>
                <w:top w:val="nil"/>
                <w:left w:val="nil"/>
                <w:bottom w:val="nil"/>
                <w:right w:val="nil"/>
                <w:between w:val="nil"/>
              </w:pBdr>
              <w:rPr>
                <w:color w:val="000000"/>
              </w:rPr>
            </w:pPr>
            <w:r>
              <w:rPr>
                <w:rFonts w:ascii="MS Gothic" w:eastAsia="MS Gothic" w:hAnsi="MS Gothic" w:cs="MS Gothic"/>
                <w:color w:val="000000"/>
              </w:rPr>
              <w:t xml:space="preserve">X </w:t>
            </w:r>
            <w:r w:rsidR="00B77BA8">
              <w:rPr>
                <w:color w:val="000000"/>
              </w:rPr>
              <w:t>Non</w:t>
            </w:r>
          </w:p>
          <w:p w:rsidR="00976E54" w:rsidRDefault="00B77BA8">
            <w:pPr>
              <w:pBdr>
                <w:top w:val="nil"/>
                <w:left w:val="nil"/>
                <w:bottom w:val="nil"/>
                <w:right w:val="nil"/>
                <w:between w:val="nil"/>
              </w:pBdr>
              <w:rPr>
                <w:color w:val="000000"/>
              </w:rPr>
            </w:pPr>
            <w:r>
              <w:rPr>
                <w:rFonts w:ascii="MS Gothic" w:eastAsia="MS Gothic" w:hAnsi="MS Gothic" w:cs="MS Gothic"/>
                <w:color w:val="000000"/>
              </w:rPr>
              <w:t>☐</w:t>
            </w:r>
            <w:r>
              <w:rPr>
                <w:color w:val="000000"/>
              </w:rPr>
              <w:t xml:space="preserve">Oui : </w:t>
            </w:r>
          </w:p>
          <w:p w:rsidR="00976E54" w:rsidRDefault="00B77BA8">
            <w:pPr>
              <w:pBdr>
                <w:top w:val="nil"/>
                <w:left w:val="nil"/>
                <w:bottom w:val="nil"/>
                <w:right w:val="nil"/>
                <w:between w:val="nil"/>
              </w:pBdr>
              <w:ind w:left="600"/>
              <w:rPr>
                <w:color w:val="000000"/>
              </w:rPr>
            </w:pPr>
            <w:r>
              <w:rPr>
                <w:rFonts w:ascii="MS Gothic" w:eastAsia="MS Gothic" w:hAnsi="MS Gothic" w:cs="MS Gothic"/>
                <w:color w:val="000000"/>
              </w:rPr>
              <w:t>☐</w:t>
            </w:r>
            <w:r>
              <w:rPr>
                <w:color w:val="000000"/>
              </w:rPr>
              <w:t xml:space="preserve"> Imposée </w:t>
            </w:r>
          </w:p>
          <w:p w:rsidR="00976E54" w:rsidRDefault="00B77BA8" w:rsidP="009D7892">
            <w:pPr>
              <w:pBdr>
                <w:top w:val="nil"/>
                <w:left w:val="nil"/>
                <w:bottom w:val="nil"/>
                <w:right w:val="nil"/>
                <w:between w:val="nil"/>
              </w:pBdr>
              <w:ind w:left="600"/>
              <w:rPr>
                <w:color w:val="000000"/>
              </w:rPr>
            </w:pPr>
            <w:r>
              <w:rPr>
                <w:rFonts w:ascii="MS Gothic" w:eastAsia="MS Gothic" w:hAnsi="MS Gothic" w:cs="MS Gothic"/>
                <w:color w:val="000000"/>
              </w:rPr>
              <w:t>☐</w:t>
            </w:r>
            <w:r>
              <w:rPr>
                <w:color w:val="000000"/>
              </w:rPr>
              <w:t xml:space="preserve"> Non imposée </w:t>
            </w:r>
          </w:p>
          <w:p w:rsidR="00976E54" w:rsidRDefault="00B77BA8">
            <w:pPr>
              <w:rPr>
                <w:b/>
                <w:color w:val="FF0000"/>
              </w:rPr>
            </w:pPr>
            <w:r>
              <w:rPr>
                <w:b/>
                <w:color w:val="FF0000"/>
              </w:rPr>
              <w:t>SI OUI A DEFINIR A MINIMA AU RC</w:t>
            </w:r>
          </w:p>
          <w:p w:rsidR="00976E54" w:rsidRDefault="00B77BA8">
            <w:pPr>
              <w:jc w:val="both"/>
            </w:pPr>
            <w:r>
              <w:rPr>
                <w:i/>
                <w:color w:val="0070C0"/>
                <w:sz w:val="20"/>
                <w:szCs w:val="20"/>
              </w:rPr>
              <w:t>Les variantes sont des solutions laissées à l’initiative des candidats de modifier certaines spécifications techniques du dossier et à lever ou non au moment de l’attribution. Elles doivent faire l’objet d’une analyse identique à celle de l’offre de base.</w:t>
            </w:r>
          </w:p>
        </w:tc>
      </w:tr>
      <w:tr w:rsidR="00976E54">
        <w:tc>
          <w:tcPr>
            <w:tcW w:w="3331" w:type="dxa"/>
          </w:tcPr>
          <w:p w:rsidR="00976E54" w:rsidRDefault="00B77BA8">
            <w:r>
              <w:rPr>
                <w:color w:val="000000"/>
              </w:rPr>
              <w:t>Option(s) </w:t>
            </w:r>
          </w:p>
        </w:tc>
        <w:tc>
          <w:tcPr>
            <w:tcW w:w="5881" w:type="dxa"/>
          </w:tcPr>
          <w:p w:rsidR="00976E54" w:rsidRDefault="00B77BA8">
            <w:pPr>
              <w:pBdr>
                <w:top w:val="nil"/>
                <w:left w:val="nil"/>
                <w:bottom w:val="nil"/>
                <w:right w:val="nil"/>
                <w:between w:val="nil"/>
              </w:pBdr>
              <w:rPr>
                <w:color w:val="000000"/>
              </w:rPr>
            </w:pPr>
            <w:r>
              <w:rPr>
                <w:rFonts w:ascii="MS Gothic" w:eastAsia="MS Gothic" w:hAnsi="MS Gothic" w:cs="MS Gothic"/>
                <w:color w:val="000000"/>
              </w:rPr>
              <w:t>☐</w:t>
            </w:r>
            <w:r>
              <w:rPr>
                <w:color w:val="000000"/>
              </w:rPr>
              <w:t>Au sens de l’article R 2113-4 du Code de la Commande Publique (= Tranche Ferme/Tranche Optionnelle)</w:t>
            </w:r>
          </w:p>
          <w:p w:rsidR="00976E54" w:rsidRDefault="00B77BA8">
            <w:pPr>
              <w:pBdr>
                <w:top w:val="nil"/>
                <w:left w:val="nil"/>
                <w:bottom w:val="nil"/>
                <w:right w:val="nil"/>
                <w:between w:val="nil"/>
              </w:pBdr>
              <w:rPr>
                <w:color w:val="000000"/>
              </w:rPr>
            </w:pPr>
            <w:r>
              <w:rPr>
                <w:rFonts w:ascii="MS Gothic" w:eastAsia="MS Gothic" w:hAnsi="MS Gothic" w:cs="MS Gothic"/>
                <w:color w:val="000000"/>
              </w:rPr>
              <w:t>☐</w:t>
            </w:r>
            <w:r>
              <w:rPr>
                <w:color w:val="000000"/>
              </w:rPr>
              <w:t>Au sens de l’article R 2122-4 et R2122-7 du Code de la Commande Publique (= contrats complémentaires/supplémentaires intégrés dans l’estimation financière)</w:t>
            </w:r>
          </w:p>
          <w:p w:rsidR="00976E54" w:rsidRDefault="009D7892">
            <w:pPr>
              <w:pBdr>
                <w:top w:val="nil"/>
                <w:left w:val="nil"/>
                <w:bottom w:val="nil"/>
                <w:right w:val="nil"/>
                <w:between w:val="nil"/>
              </w:pBdr>
              <w:rPr>
                <w:color w:val="000000"/>
              </w:rPr>
            </w:pPr>
            <w:proofErr w:type="gramStart"/>
            <w:r>
              <w:rPr>
                <w:rFonts w:ascii="MS Gothic" w:eastAsia="MS Gothic" w:hAnsi="MS Gothic" w:cs="MS Gothic"/>
                <w:color w:val="000000"/>
              </w:rPr>
              <w:t xml:space="preserve">X </w:t>
            </w:r>
            <w:r w:rsidR="00B77BA8">
              <w:rPr>
                <w:color w:val="000000"/>
              </w:rPr>
              <w:t xml:space="preserve"> Aucune</w:t>
            </w:r>
            <w:proofErr w:type="gramEnd"/>
          </w:p>
          <w:p w:rsidR="00976E54" w:rsidRDefault="00B77BA8">
            <w:pPr>
              <w:jc w:val="both"/>
              <w:rPr>
                <w:i/>
                <w:color w:val="0070C0"/>
                <w:sz w:val="20"/>
                <w:szCs w:val="20"/>
              </w:rPr>
            </w:pPr>
            <w:r>
              <w:rPr>
                <w:i/>
                <w:color w:val="0070C0"/>
                <w:sz w:val="20"/>
                <w:szCs w:val="20"/>
              </w:rPr>
              <w:t>Les options consistent en une ou des prestations définis par l’acheteur dans le DCE et auxquelles  le candidat est tenu de proposer dans son offre. L'acheteur se réserve le droit de lever les options ou non.</w:t>
            </w:r>
          </w:p>
        </w:tc>
      </w:tr>
      <w:tr w:rsidR="00976E54">
        <w:tc>
          <w:tcPr>
            <w:tcW w:w="3331" w:type="dxa"/>
          </w:tcPr>
          <w:p w:rsidR="00976E54" w:rsidRDefault="00B77BA8">
            <w:r>
              <w:rPr>
                <w:color w:val="000000"/>
              </w:rPr>
              <w:t>Indications des informations confidentielles dans le mémoire des candidats </w:t>
            </w:r>
          </w:p>
        </w:tc>
        <w:tc>
          <w:tcPr>
            <w:tcW w:w="5881" w:type="dxa"/>
          </w:tcPr>
          <w:p w:rsidR="00976E54" w:rsidRDefault="009D7892">
            <w:pPr>
              <w:pBdr>
                <w:top w:val="nil"/>
                <w:left w:val="nil"/>
                <w:bottom w:val="nil"/>
                <w:right w:val="nil"/>
                <w:between w:val="nil"/>
              </w:pBdr>
              <w:rPr>
                <w:color w:val="000000"/>
              </w:rPr>
            </w:pPr>
            <w:r>
              <w:rPr>
                <w:rFonts w:ascii="MS Gothic" w:eastAsia="MS Gothic" w:hAnsi="MS Gothic" w:cs="MS Gothic"/>
                <w:color w:val="000000"/>
              </w:rPr>
              <w:t xml:space="preserve">X </w:t>
            </w:r>
            <w:r w:rsidR="00B77BA8">
              <w:rPr>
                <w:color w:val="000000"/>
              </w:rPr>
              <w:t>Non</w:t>
            </w:r>
          </w:p>
          <w:p w:rsidR="00976E54" w:rsidRDefault="00B77BA8">
            <w:pPr>
              <w:pBdr>
                <w:top w:val="nil"/>
                <w:left w:val="nil"/>
                <w:bottom w:val="nil"/>
                <w:right w:val="nil"/>
                <w:between w:val="nil"/>
              </w:pBdr>
              <w:rPr>
                <w:color w:val="000000"/>
              </w:rPr>
            </w:pPr>
            <w:r>
              <w:rPr>
                <w:rFonts w:ascii="MS Gothic" w:eastAsia="MS Gothic" w:hAnsi="MS Gothic" w:cs="MS Gothic"/>
                <w:color w:val="000000"/>
              </w:rPr>
              <w:t>☐</w:t>
            </w:r>
            <w:r>
              <w:rPr>
                <w:color w:val="000000"/>
              </w:rPr>
              <w:t xml:space="preserve">Oui </w:t>
            </w:r>
          </w:p>
          <w:p w:rsidR="00976E54" w:rsidRDefault="00B77BA8">
            <w:pPr>
              <w:jc w:val="both"/>
            </w:pPr>
            <w:r>
              <w:rPr>
                <w:i/>
                <w:color w:val="0070C0"/>
                <w:sz w:val="20"/>
                <w:szCs w:val="20"/>
              </w:rPr>
              <w:t>Cette indication peut être utile lorsqu’un candidat demande les informations sur l’offre de l’attributaire. De cette manière l’acheteur n’a pas à choisir ce qui relève du secret industriel et commercial ou non.</w:t>
            </w:r>
            <w:r>
              <w:t xml:space="preserve"> </w:t>
            </w:r>
          </w:p>
        </w:tc>
      </w:tr>
      <w:tr w:rsidR="00976E54">
        <w:tc>
          <w:tcPr>
            <w:tcW w:w="3331" w:type="dxa"/>
          </w:tcPr>
          <w:p w:rsidR="00976E54" w:rsidRDefault="00B77BA8">
            <w:pPr>
              <w:pBdr>
                <w:top w:val="nil"/>
                <w:left w:val="nil"/>
                <w:bottom w:val="nil"/>
                <w:right w:val="nil"/>
                <w:between w:val="nil"/>
              </w:pBdr>
            </w:pPr>
            <w:r>
              <w:rPr>
                <w:color w:val="000000"/>
              </w:rPr>
              <w:t>Nombre de candidat admis à négocier </w:t>
            </w:r>
          </w:p>
          <w:p w:rsidR="00976E54" w:rsidRDefault="00976E54"/>
        </w:tc>
        <w:tc>
          <w:tcPr>
            <w:tcW w:w="5881" w:type="dxa"/>
          </w:tcPr>
          <w:p w:rsidR="00976E54" w:rsidRDefault="009D7892">
            <w:pPr>
              <w:pBdr>
                <w:top w:val="nil"/>
                <w:left w:val="nil"/>
                <w:bottom w:val="nil"/>
                <w:right w:val="nil"/>
                <w:between w:val="nil"/>
              </w:pBdr>
              <w:rPr>
                <w:color w:val="000000"/>
              </w:rPr>
            </w:pPr>
            <w:proofErr w:type="gramStart"/>
            <w:r>
              <w:rPr>
                <w:rFonts w:ascii="MS Gothic" w:eastAsia="MS Gothic" w:hAnsi="MS Gothic" w:cs="MS Gothic"/>
                <w:color w:val="000000"/>
              </w:rPr>
              <w:t xml:space="preserve">X </w:t>
            </w:r>
            <w:r w:rsidR="00B77BA8">
              <w:rPr>
                <w:color w:val="000000"/>
              </w:rPr>
              <w:t xml:space="preserve"> Minimum</w:t>
            </w:r>
            <w:proofErr w:type="gramEnd"/>
            <w:r w:rsidR="00B77BA8">
              <w:rPr>
                <w:color w:val="000000"/>
              </w:rPr>
              <w:t xml:space="preserve"> : </w:t>
            </w:r>
            <w:r w:rsidRPr="009D7892">
              <w:rPr>
                <w:b/>
                <w:color w:val="000000"/>
              </w:rPr>
              <w:t>1</w:t>
            </w:r>
          </w:p>
          <w:p w:rsidR="00976E54" w:rsidRDefault="00B77BA8">
            <w:pPr>
              <w:pBdr>
                <w:top w:val="nil"/>
                <w:left w:val="nil"/>
                <w:bottom w:val="nil"/>
                <w:right w:val="nil"/>
                <w:between w:val="nil"/>
              </w:pBdr>
              <w:rPr>
                <w:b/>
                <w:color w:val="000000"/>
              </w:rPr>
            </w:pPr>
            <w:r>
              <w:rPr>
                <w:rFonts w:ascii="MS Gothic" w:eastAsia="MS Gothic" w:hAnsi="MS Gothic" w:cs="MS Gothic"/>
                <w:color w:val="000000"/>
              </w:rPr>
              <w:t>☐</w:t>
            </w:r>
            <w:r>
              <w:rPr>
                <w:color w:val="000000"/>
              </w:rPr>
              <w:t xml:space="preserve"> Maximum : </w:t>
            </w:r>
            <w:r w:rsidR="009D7892">
              <w:rPr>
                <w:b/>
                <w:color w:val="000000"/>
              </w:rPr>
              <w:t>6</w:t>
            </w:r>
          </w:p>
          <w:p w:rsidR="00976E54" w:rsidRDefault="00B77BA8">
            <w:r>
              <w:rPr>
                <w:i/>
                <w:color w:val="0070C0"/>
                <w:sz w:val="20"/>
                <w:szCs w:val="20"/>
              </w:rPr>
              <w:t>Cette indication peut être utile pour se fixer un seuil de mise en concurrence minimal et pour limiter le nombre de dossier à analyser.</w:t>
            </w:r>
          </w:p>
        </w:tc>
      </w:tr>
      <w:tr w:rsidR="00976E54">
        <w:tc>
          <w:tcPr>
            <w:tcW w:w="3331" w:type="dxa"/>
          </w:tcPr>
          <w:p w:rsidR="00976E54" w:rsidRDefault="00B77BA8">
            <w:pPr>
              <w:pBdr>
                <w:top w:val="nil"/>
                <w:left w:val="nil"/>
                <w:bottom w:val="nil"/>
                <w:right w:val="nil"/>
                <w:between w:val="nil"/>
              </w:pBdr>
            </w:pPr>
            <w:r>
              <w:t xml:space="preserve">Candidature acceptée sur capacité minimale </w:t>
            </w:r>
          </w:p>
        </w:tc>
        <w:tc>
          <w:tcPr>
            <w:tcW w:w="5881" w:type="dxa"/>
          </w:tcPr>
          <w:p w:rsidR="00976E54" w:rsidRDefault="00B77BA8">
            <w:pPr>
              <w:pBdr>
                <w:top w:val="nil"/>
                <w:left w:val="nil"/>
                <w:bottom w:val="nil"/>
                <w:right w:val="nil"/>
                <w:between w:val="nil"/>
              </w:pBdr>
              <w:rPr>
                <w:color w:val="000000"/>
              </w:rPr>
            </w:pPr>
            <w:r>
              <w:rPr>
                <w:color w:val="000000"/>
              </w:rPr>
              <w:t xml:space="preserve"> </w:t>
            </w:r>
            <w:r w:rsidR="009D7892">
              <w:rPr>
                <w:rFonts w:ascii="MS Gothic" w:eastAsia="MS Gothic" w:hAnsi="MS Gothic" w:cs="MS Gothic"/>
                <w:color w:val="000000"/>
              </w:rPr>
              <w:t xml:space="preserve">X </w:t>
            </w:r>
            <w:r>
              <w:rPr>
                <w:color w:val="000000"/>
              </w:rPr>
              <w:t>Non</w:t>
            </w:r>
          </w:p>
          <w:p w:rsidR="00976E54" w:rsidRDefault="00B77BA8" w:rsidP="009D7892">
            <w:pPr>
              <w:pBdr>
                <w:top w:val="nil"/>
                <w:left w:val="nil"/>
                <w:bottom w:val="nil"/>
                <w:right w:val="nil"/>
                <w:between w:val="nil"/>
              </w:pBdr>
              <w:rPr>
                <w:color w:val="000000"/>
              </w:rPr>
            </w:pPr>
            <w:r>
              <w:rPr>
                <w:rFonts w:ascii="MS Gothic" w:eastAsia="MS Gothic" w:hAnsi="MS Gothic" w:cs="MS Gothic"/>
                <w:color w:val="000000"/>
              </w:rPr>
              <w:t>☐</w:t>
            </w:r>
            <w:r>
              <w:rPr>
                <w:color w:val="000000"/>
              </w:rPr>
              <w:t xml:space="preserve">Oui : </w:t>
            </w:r>
          </w:p>
        </w:tc>
      </w:tr>
      <w:tr w:rsidR="00976E54">
        <w:tc>
          <w:tcPr>
            <w:tcW w:w="3331" w:type="dxa"/>
          </w:tcPr>
          <w:p w:rsidR="00976E54" w:rsidRDefault="00B77BA8">
            <w:pPr>
              <w:pBdr>
                <w:top w:val="nil"/>
                <w:left w:val="nil"/>
                <w:bottom w:val="nil"/>
                <w:right w:val="nil"/>
                <w:between w:val="nil"/>
              </w:pBdr>
            </w:pPr>
            <w:r>
              <w:rPr>
                <w:color w:val="000000"/>
              </w:rPr>
              <w:t>Subvention(s) </w:t>
            </w:r>
          </w:p>
          <w:p w:rsidR="00976E54" w:rsidRDefault="00976E54"/>
        </w:tc>
        <w:tc>
          <w:tcPr>
            <w:tcW w:w="5881" w:type="dxa"/>
          </w:tcPr>
          <w:p w:rsidR="00976E54" w:rsidRDefault="00B77BA8">
            <w:pPr>
              <w:pBdr>
                <w:top w:val="nil"/>
                <w:left w:val="nil"/>
                <w:bottom w:val="nil"/>
                <w:right w:val="nil"/>
                <w:between w:val="nil"/>
              </w:pBdr>
              <w:rPr>
                <w:color w:val="000000"/>
              </w:rPr>
            </w:pPr>
            <w:r>
              <w:rPr>
                <w:rFonts w:ascii="MS Gothic" w:eastAsia="MS Gothic" w:hAnsi="MS Gothic" w:cs="MS Gothic"/>
                <w:color w:val="000000"/>
              </w:rPr>
              <w:t>☐</w:t>
            </w:r>
            <w:r>
              <w:rPr>
                <w:color w:val="000000"/>
              </w:rPr>
              <w:t>Non</w:t>
            </w:r>
          </w:p>
          <w:p w:rsidR="00976E54" w:rsidRDefault="009D7892">
            <w:r>
              <w:rPr>
                <w:rFonts w:ascii="MS Gothic" w:eastAsia="MS Gothic" w:hAnsi="MS Gothic" w:cs="MS Gothic"/>
                <w:color w:val="000000"/>
              </w:rPr>
              <w:t xml:space="preserve">X </w:t>
            </w:r>
            <w:r w:rsidR="00B77BA8">
              <w:rPr>
                <w:color w:val="000000"/>
              </w:rPr>
              <w:t>Oui</w:t>
            </w:r>
          </w:p>
        </w:tc>
      </w:tr>
      <w:tr w:rsidR="00976E54">
        <w:tc>
          <w:tcPr>
            <w:tcW w:w="3331" w:type="dxa"/>
          </w:tcPr>
          <w:p w:rsidR="00976E54" w:rsidRDefault="00B77BA8">
            <w:r>
              <w:rPr>
                <w:color w:val="000000"/>
              </w:rPr>
              <w:t>Clause résolutoire/suspensive </w:t>
            </w:r>
          </w:p>
        </w:tc>
        <w:tc>
          <w:tcPr>
            <w:tcW w:w="5881" w:type="dxa"/>
          </w:tcPr>
          <w:p w:rsidR="00976E54" w:rsidRDefault="00976E54"/>
        </w:tc>
      </w:tr>
      <w:tr w:rsidR="00976E54">
        <w:tc>
          <w:tcPr>
            <w:tcW w:w="3331" w:type="dxa"/>
          </w:tcPr>
          <w:p w:rsidR="00976E54" w:rsidRDefault="00B77BA8">
            <w:r>
              <w:rPr>
                <w:color w:val="000000"/>
              </w:rPr>
              <w:t>Participation d’un AMO/BE/Prestataire à la préparation de la consultation ou de tout élément technique en lien avec celle-ci </w:t>
            </w:r>
          </w:p>
        </w:tc>
        <w:tc>
          <w:tcPr>
            <w:tcW w:w="5881" w:type="dxa"/>
          </w:tcPr>
          <w:p w:rsidR="00976E54" w:rsidRDefault="009D7892">
            <w:pPr>
              <w:pBdr>
                <w:top w:val="nil"/>
                <w:left w:val="nil"/>
                <w:bottom w:val="nil"/>
                <w:right w:val="nil"/>
                <w:between w:val="nil"/>
              </w:pBdr>
              <w:rPr>
                <w:color w:val="000000"/>
              </w:rPr>
            </w:pPr>
            <w:r>
              <w:rPr>
                <w:rFonts w:ascii="MS Gothic" w:eastAsia="MS Gothic" w:hAnsi="MS Gothic" w:cs="MS Gothic"/>
                <w:color w:val="000000"/>
              </w:rPr>
              <w:t xml:space="preserve">X </w:t>
            </w:r>
            <w:r w:rsidR="00B77BA8">
              <w:rPr>
                <w:color w:val="000000"/>
              </w:rPr>
              <w:t>Non</w:t>
            </w:r>
          </w:p>
          <w:p w:rsidR="00976E54" w:rsidRDefault="00B77BA8">
            <w:pPr>
              <w:pBdr>
                <w:top w:val="nil"/>
                <w:left w:val="nil"/>
                <w:bottom w:val="nil"/>
                <w:right w:val="nil"/>
                <w:between w:val="nil"/>
              </w:pBdr>
              <w:rPr>
                <w:b/>
                <w:color w:val="000000"/>
              </w:rPr>
            </w:pPr>
            <w:r>
              <w:rPr>
                <w:rFonts w:ascii="MS Gothic" w:eastAsia="MS Gothic" w:hAnsi="MS Gothic" w:cs="MS Gothic"/>
                <w:color w:val="000000"/>
              </w:rPr>
              <w:t>☐</w:t>
            </w:r>
            <w:r>
              <w:rPr>
                <w:color w:val="000000"/>
              </w:rPr>
              <w:t xml:space="preserve">Oui : </w:t>
            </w:r>
            <w:r>
              <w:rPr>
                <w:b/>
                <w:color w:val="000000"/>
                <w:highlight w:val="yellow"/>
              </w:rPr>
              <w:t>[A compléter]</w:t>
            </w:r>
          </w:p>
          <w:p w:rsidR="00976E54" w:rsidRDefault="00B77BA8">
            <w:pPr>
              <w:pBdr>
                <w:top w:val="nil"/>
                <w:left w:val="nil"/>
                <w:bottom w:val="nil"/>
                <w:right w:val="nil"/>
                <w:between w:val="nil"/>
              </w:pBdr>
              <w:rPr>
                <w:b/>
                <w:color w:val="000000"/>
              </w:rPr>
            </w:pPr>
            <w:r>
              <w:rPr>
                <w:i/>
                <w:color w:val="0070C0"/>
                <w:sz w:val="20"/>
                <w:szCs w:val="20"/>
              </w:rPr>
              <w:t xml:space="preserve">moyens mis en place pour assurer l’égalité de traitement de ce fait : </w:t>
            </w:r>
            <w:r>
              <w:rPr>
                <w:b/>
                <w:color w:val="000000"/>
                <w:highlight w:val="yellow"/>
              </w:rPr>
              <w:t>[A compléter]</w:t>
            </w:r>
          </w:p>
          <w:p w:rsidR="00976E54" w:rsidRDefault="00976E54"/>
        </w:tc>
      </w:tr>
      <w:tr w:rsidR="00976E54">
        <w:tc>
          <w:tcPr>
            <w:tcW w:w="3331" w:type="dxa"/>
          </w:tcPr>
          <w:p w:rsidR="00976E54" w:rsidRDefault="00B77BA8">
            <w:r>
              <w:rPr>
                <w:color w:val="000000"/>
              </w:rPr>
              <w:t>Limitation de la part de prestations à exécuter par le titulaire sans sous-traitance</w:t>
            </w:r>
          </w:p>
        </w:tc>
        <w:tc>
          <w:tcPr>
            <w:tcW w:w="5881" w:type="dxa"/>
          </w:tcPr>
          <w:p w:rsidR="00976E54" w:rsidRDefault="00B77BA8">
            <w:pPr>
              <w:pBdr>
                <w:top w:val="nil"/>
                <w:left w:val="nil"/>
                <w:bottom w:val="nil"/>
                <w:right w:val="nil"/>
                <w:between w:val="nil"/>
              </w:pBdr>
              <w:rPr>
                <w:color w:val="000000"/>
              </w:rPr>
            </w:pPr>
            <w:r>
              <w:rPr>
                <w:rFonts w:ascii="MS Gothic" w:eastAsia="MS Gothic" w:hAnsi="MS Gothic" w:cs="MS Gothic"/>
                <w:color w:val="000000"/>
              </w:rPr>
              <w:t>☐</w:t>
            </w:r>
            <w:r>
              <w:rPr>
                <w:color w:val="000000"/>
              </w:rPr>
              <w:t>Non</w:t>
            </w:r>
          </w:p>
          <w:p w:rsidR="00976E54" w:rsidRDefault="00B77BA8">
            <w:pPr>
              <w:pBdr>
                <w:top w:val="nil"/>
                <w:left w:val="nil"/>
                <w:bottom w:val="nil"/>
                <w:right w:val="nil"/>
                <w:between w:val="nil"/>
              </w:pBdr>
              <w:rPr>
                <w:b/>
                <w:color w:val="000000"/>
              </w:rPr>
            </w:pPr>
            <w:r>
              <w:rPr>
                <w:rFonts w:ascii="MS Gothic" w:eastAsia="MS Gothic" w:hAnsi="MS Gothic" w:cs="MS Gothic"/>
                <w:color w:val="000000"/>
              </w:rPr>
              <w:t>☐</w:t>
            </w:r>
            <w:r>
              <w:rPr>
                <w:color w:val="000000"/>
              </w:rPr>
              <w:t xml:space="preserve">Oui : </w:t>
            </w:r>
            <w:r>
              <w:rPr>
                <w:b/>
                <w:color w:val="000000"/>
                <w:highlight w:val="yellow"/>
              </w:rPr>
              <w:t>[A compléter]</w:t>
            </w:r>
            <w:r>
              <w:rPr>
                <w:b/>
                <w:color w:val="000000"/>
              </w:rPr>
              <w:t xml:space="preserve"> %</w:t>
            </w:r>
          </w:p>
          <w:p w:rsidR="00976E54" w:rsidRDefault="00B77BA8">
            <w:r>
              <w:rPr>
                <w:i/>
                <w:color w:val="0070C0"/>
                <w:sz w:val="20"/>
                <w:szCs w:val="20"/>
              </w:rPr>
              <w:t>(article 2193-3 du Code de la Commande Publique)</w:t>
            </w:r>
          </w:p>
        </w:tc>
      </w:tr>
    </w:tbl>
    <w:p w:rsidR="00976E54" w:rsidRDefault="00976E54">
      <w:pPr>
        <w:pBdr>
          <w:top w:val="nil"/>
          <w:left w:val="nil"/>
          <w:bottom w:val="nil"/>
          <w:right w:val="nil"/>
          <w:between w:val="nil"/>
        </w:pBdr>
        <w:spacing w:after="0"/>
        <w:ind w:left="720"/>
        <w:rPr>
          <w:color w:val="000000"/>
        </w:rPr>
      </w:pPr>
    </w:p>
    <w:p w:rsidR="00976E54" w:rsidRDefault="00976E54"/>
    <w:p w:rsidR="00976E54" w:rsidRDefault="00B77BA8">
      <w:pPr>
        <w:pBdr>
          <w:top w:val="nil"/>
          <w:left w:val="nil"/>
          <w:bottom w:val="nil"/>
          <w:right w:val="nil"/>
          <w:between w:val="nil"/>
        </w:pBdr>
        <w:spacing w:after="0" w:line="240" w:lineRule="auto"/>
        <w:rPr>
          <w:b/>
          <w:u w:val="single"/>
        </w:rPr>
      </w:pPr>
      <w:r>
        <w:rPr>
          <w:b/>
          <w:u w:val="single"/>
        </w:rPr>
        <w:t>Elément de candidatures  (Arrêté du 29  mars 2016 fixant la liste des renseignements et des documents pouvant être demandés aux candidats aux marchés publics)</w:t>
      </w:r>
    </w:p>
    <w:p w:rsidR="00976E54" w:rsidRDefault="00976E54">
      <w:pPr>
        <w:pBdr>
          <w:top w:val="nil"/>
          <w:left w:val="nil"/>
          <w:bottom w:val="nil"/>
          <w:right w:val="nil"/>
          <w:between w:val="nil"/>
        </w:pBdr>
        <w:spacing w:after="0" w:line="240" w:lineRule="auto"/>
        <w:jc w:val="both"/>
        <w:rPr>
          <w:rFonts w:ascii="MS Gothic" w:eastAsia="MS Gothic" w:hAnsi="MS Gothic" w:cs="MS Gothic"/>
          <w:color w:val="000000"/>
          <w:highlight w:val="white"/>
        </w:rPr>
      </w:pPr>
    </w:p>
    <w:p w:rsidR="00976E54" w:rsidRDefault="00B77BA8">
      <w:pPr>
        <w:pBdr>
          <w:top w:val="nil"/>
          <w:left w:val="nil"/>
          <w:bottom w:val="nil"/>
          <w:right w:val="nil"/>
          <w:between w:val="nil"/>
        </w:pBdr>
        <w:spacing w:after="0" w:line="240" w:lineRule="auto"/>
        <w:jc w:val="both"/>
        <w:rPr>
          <w:color w:val="000000"/>
          <w:highlight w:val="white"/>
        </w:rPr>
      </w:pPr>
      <w:r>
        <w:rPr>
          <w:rFonts w:ascii="MS Gothic" w:eastAsia="MS Gothic" w:hAnsi="MS Gothic" w:cs="MS Gothic"/>
          <w:color w:val="000000"/>
          <w:highlight w:val="white"/>
        </w:rPr>
        <w:t>☐</w:t>
      </w:r>
      <w:r>
        <w:rPr>
          <w:color w:val="000000"/>
          <w:highlight w:val="white"/>
        </w:rPr>
        <w:t>Fiche candidature</w:t>
      </w:r>
    </w:p>
    <w:p w:rsidR="00976E54" w:rsidRDefault="00B77BA8">
      <w:pPr>
        <w:pBdr>
          <w:top w:val="nil"/>
          <w:left w:val="nil"/>
          <w:bottom w:val="nil"/>
          <w:right w:val="nil"/>
          <w:between w:val="nil"/>
        </w:pBdr>
        <w:spacing w:after="0" w:line="240" w:lineRule="auto"/>
        <w:jc w:val="both"/>
        <w:rPr>
          <w:color w:val="000000"/>
          <w:highlight w:val="white"/>
        </w:rPr>
      </w:pPr>
      <w:r>
        <w:rPr>
          <w:color w:val="000000"/>
          <w:highlight w:val="white"/>
        </w:rPr>
        <w:t>☐K-bis</w:t>
      </w:r>
    </w:p>
    <w:p w:rsidR="00976E54" w:rsidRDefault="00B77BA8">
      <w:pPr>
        <w:pBdr>
          <w:top w:val="nil"/>
          <w:left w:val="nil"/>
          <w:bottom w:val="nil"/>
          <w:right w:val="nil"/>
          <w:between w:val="nil"/>
        </w:pBdr>
        <w:spacing w:after="0" w:line="240" w:lineRule="auto"/>
        <w:jc w:val="both"/>
        <w:rPr>
          <w:color w:val="000000"/>
          <w:highlight w:val="white"/>
        </w:rPr>
      </w:pPr>
      <w:r>
        <w:rPr>
          <w:rFonts w:ascii="MS Gothic" w:eastAsia="MS Gothic" w:hAnsi="MS Gothic" w:cs="MS Gothic"/>
          <w:color w:val="000000"/>
          <w:highlight w:val="white"/>
        </w:rPr>
        <w:t>☐</w:t>
      </w:r>
      <w:r>
        <w:rPr>
          <w:color w:val="000000"/>
          <w:highlight w:val="white"/>
        </w:rPr>
        <w:t>Une liste 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rsidR="00976E54" w:rsidRDefault="00B77BA8">
      <w:pPr>
        <w:pBdr>
          <w:top w:val="nil"/>
          <w:left w:val="nil"/>
          <w:bottom w:val="nil"/>
          <w:right w:val="nil"/>
          <w:between w:val="nil"/>
        </w:pBdr>
        <w:spacing w:after="0" w:line="240" w:lineRule="auto"/>
        <w:jc w:val="both"/>
        <w:rPr>
          <w:color w:val="000000"/>
          <w:highlight w:val="white"/>
        </w:rPr>
      </w:pPr>
      <w:r>
        <w:rPr>
          <w:rFonts w:ascii="MS Gothic" w:eastAsia="MS Gothic" w:hAnsi="MS Gothic" w:cs="MS Gothic"/>
          <w:color w:val="000000"/>
          <w:highlight w:val="white"/>
        </w:rPr>
        <w:t>☐</w:t>
      </w:r>
      <w:r>
        <w:rPr>
          <w:color w:val="000000"/>
          <w:highlight w:val="white"/>
        </w:rPr>
        <w:t>Une liste des principales livraisons effectuées ou des principaux services fournis au cours des trois dernières années indiquant le montant, la date et le destinataire public ou privé.</w:t>
      </w:r>
    </w:p>
    <w:p w:rsidR="00976E54" w:rsidRDefault="00B77BA8">
      <w:pPr>
        <w:pBdr>
          <w:top w:val="nil"/>
          <w:left w:val="nil"/>
          <w:bottom w:val="nil"/>
          <w:right w:val="nil"/>
          <w:between w:val="nil"/>
        </w:pBdr>
        <w:spacing w:after="0" w:line="240" w:lineRule="auto"/>
        <w:jc w:val="both"/>
        <w:rPr>
          <w:color w:val="000000"/>
          <w:highlight w:val="white"/>
        </w:rPr>
      </w:pPr>
      <w:r>
        <w:rPr>
          <w:rFonts w:ascii="MS Gothic" w:eastAsia="MS Gothic" w:hAnsi="MS Gothic" w:cs="MS Gothic"/>
          <w:color w:val="000000"/>
          <w:highlight w:val="white"/>
        </w:rPr>
        <w:t>☐</w:t>
      </w:r>
      <w:r>
        <w:rPr>
          <w:color w:val="000000"/>
          <w:highlight w:val="white"/>
        </w:rPr>
        <w:t>Une déclaration indiquant les effectifs moyens annuels du candidat et l'importance du personnel d'encadrement pendant les trois dernières années ;</w:t>
      </w:r>
    </w:p>
    <w:p w:rsidR="00976E54" w:rsidRDefault="00B77BA8">
      <w:pPr>
        <w:pBdr>
          <w:top w:val="nil"/>
          <w:left w:val="nil"/>
          <w:bottom w:val="nil"/>
          <w:right w:val="nil"/>
          <w:between w:val="nil"/>
        </w:pBdr>
        <w:spacing w:after="0" w:line="240" w:lineRule="auto"/>
        <w:jc w:val="both"/>
        <w:rPr>
          <w:color w:val="000000"/>
          <w:highlight w:val="white"/>
        </w:rPr>
      </w:pPr>
      <w:r>
        <w:rPr>
          <w:rFonts w:ascii="MS Gothic" w:eastAsia="MS Gothic" w:hAnsi="MS Gothic" w:cs="MS Gothic"/>
          <w:color w:val="000000"/>
          <w:highlight w:val="white"/>
        </w:rPr>
        <w:t>☐</w:t>
      </w:r>
      <w:r>
        <w:rPr>
          <w:color w:val="000000"/>
          <w:highlight w:val="white"/>
        </w:rPr>
        <w:t>Pour les marchés publics de travaux, de services ou pour les marchés publics de fournitures comportant également des travaux de pose et d'installation ou des prestations de services, l'indication des titres d'études et professionnels du candidat ou des cadres de l'entreprise, et notamment des responsables de prestation de services ou de conduite des travaux de même nature que celle du marché public ;</w:t>
      </w:r>
    </w:p>
    <w:p w:rsidR="00976E54" w:rsidRDefault="00B77BA8">
      <w:pPr>
        <w:pBdr>
          <w:top w:val="nil"/>
          <w:left w:val="nil"/>
          <w:bottom w:val="nil"/>
          <w:right w:val="nil"/>
          <w:between w:val="nil"/>
        </w:pBdr>
        <w:spacing w:after="0" w:line="240" w:lineRule="auto"/>
        <w:jc w:val="both"/>
        <w:rPr>
          <w:color w:val="000000"/>
          <w:highlight w:val="white"/>
        </w:rPr>
      </w:pPr>
      <w:r>
        <w:rPr>
          <w:rFonts w:ascii="MS Gothic" w:eastAsia="MS Gothic" w:hAnsi="MS Gothic" w:cs="MS Gothic"/>
          <w:color w:val="000000"/>
          <w:highlight w:val="white"/>
        </w:rPr>
        <w:t>☐</w:t>
      </w:r>
      <w:r>
        <w:rPr>
          <w:color w:val="000000"/>
          <w:highlight w:val="white"/>
        </w:rPr>
        <w:t>L'indication des techniciens ou des organismes techniques, qu'ils soient ou non intégrés au candidat, en particulier de ceux qui sont responsables du contrôle de la qualité et, lorsqu'il s'agit de marchés publics de travaux, auquel le candidat pourra faire appel pour l'exécution de l'ouvrage ;</w:t>
      </w:r>
    </w:p>
    <w:p w:rsidR="00976E54" w:rsidRDefault="00B77BA8">
      <w:pPr>
        <w:pBdr>
          <w:top w:val="nil"/>
          <w:left w:val="nil"/>
          <w:bottom w:val="nil"/>
          <w:right w:val="nil"/>
          <w:between w:val="nil"/>
        </w:pBdr>
        <w:spacing w:after="0" w:line="240" w:lineRule="auto"/>
        <w:jc w:val="both"/>
        <w:rPr>
          <w:color w:val="000000"/>
          <w:highlight w:val="white"/>
        </w:rPr>
      </w:pPr>
      <w:r>
        <w:rPr>
          <w:color w:val="000000"/>
          <w:highlight w:val="white"/>
        </w:rPr>
        <w:t>☐Une description de l'outillage, du matériel et de l'équipement technique dont le candidat disposera pour la réalisation du marché public ;</w:t>
      </w:r>
    </w:p>
    <w:p w:rsidR="00976E54" w:rsidRDefault="00B77BA8">
      <w:pPr>
        <w:pBdr>
          <w:top w:val="nil"/>
          <w:left w:val="nil"/>
          <w:bottom w:val="nil"/>
          <w:right w:val="nil"/>
          <w:between w:val="nil"/>
        </w:pBdr>
        <w:spacing w:after="0" w:line="240" w:lineRule="auto"/>
        <w:jc w:val="both"/>
        <w:rPr>
          <w:color w:val="000000"/>
          <w:highlight w:val="white"/>
        </w:rPr>
      </w:pPr>
      <w:r>
        <w:rPr>
          <w:rFonts w:ascii="MS Gothic" w:eastAsia="MS Gothic" w:hAnsi="MS Gothic" w:cs="MS Gothic"/>
          <w:color w:val="000000"/>
          <w:highlight w:val="white"/>
        </w:rPr>
        <w:t>☐</w:t>
      </w:r>
      <w:r>
        <w:rPr>
          <w:color w:val="000000"/>
          <w:highlight w:val="white"/>
        </w:rPr>
        <w:t>La description de l'équipement technique ainsi que des mesures employées par le candidat pour s'assurer de la qualité et des moyens d'étude et de recherche de son entreprise ;</w:t>
      </w:r>
    </w:p>
    <w:p w:rsidR="00976E54" w:rsidRDefault="00B77BA8">
      <w:pPr>
        <w:pBdr>
          <w:top w:val="nil"/>
          <w:left w:val="nil"/>
          <w:bottom w:val="nil"/>
          <w:right w:val="nil"/>
          <w:between w:val="nil"/>
        </w:pBdr>
        <w:spacing w:after="0" w:line="240" w:lineRule="auto"/>
        <w:jc w:val="both"/>
        <w:rPr>
          <w:color w:val="000000"/>
          <w:highlight w:val="white"/>
        </w:rPr>
      </w:pPr>
      <w:r>
        <w:rPr>
          <w:rFonts w:ascii="MS Gothic" w:eastAsia="MS Gothic" w:hAnsi="MS Gothic" w:cs="MS Gothic"/>
          <w:color w:val="000000"/>
          <w:highlight w:val="white"/>
        </w:rPr>
        <w:t>☐</w:t>
      </w:r>
      <w:r>
        <w:rPr>
          <w:color w:val="000000"/>
          <w:highlight w:val="white"/>
        </w:rPr>
        <w:t>L'indication des systèmes de gestion et de suivi de la chaîne d'approvisionnement que le candidat pourra mettre en œuvre lors de l'exécution du marché public ;</w:t>
      </w:r>
    </w:p>
    <w:p w:rsidR="00976E54" w:rsidRDefault="00B77BA8">
      <w:pPr>
        <w:pBdr>
          <w:top w:val="nil"/>
          <w:left w:val="nil"/>
          <w:bottom w:val="nil"/>
          <w:right w:val="nil"/>
          <w:between w:val="nil"/>
        </w:pBdr>
        <w:spacing w:after="0" w:line="240" w:lineRule="auto"/>
        <w:jc w:val="both"/>
        <w:rPr>
          <w:color w:val="000000"/>
          <w:highlight w:val="white"/>
        </w:rPr>
      </w:pPr>
      <w:r>
        <w:rPr>
          <w:rFonts w:ascii="MS Gothic" w:eastAsia="MS Gothic" w:hAnsi="MS Gothic" w:cs="MS Gothic"/>
          <w:color w:val="000000"/>
          <w:highlight w:val="white"/>
        </w:rPr>
        <w:t>☐</w:t>
      </w:r>
      <w:r>
        <w:rPr>
          <w:color w:val="000000"/>
          <w:highlight w:val="white"/>
        </w:rPr>
        <w:t>L'indication des mesures de gestion environnementale que le candidat pourra appliquer lors de l'exécution du marché public ;</w:t>
      </w:r>
    </w:p>
    <w:p w:rsidR="00976E54" w:rsidRDefault="00B77BA8">
      <w:pPr>
        <w:pBdr>
          <w:top w:val="nil"/>
          <w:left w:val="nil"/>
          <w:bottom w:val="nil"/>
          <w:right w:val="nil"/>
          <w:between w:val="nil"/>
        </w:pBdr>
        <w:spacing w:after="0" w:line="240" w:lineRule="auto"/>
        <w:jc w:val="both"/>
      </w:pPr>
      <w:r>
        <w:rPr>
          <w:rFonts w:ascii="MS Gothic" w:eastAsia="MS Gothic" w:hAnsi="MS Gothic" w:cs="MS Gothic"/>
          <w:color w:val="000000"/>
          <w:highlight w:val="white"/>
        </w:rPr>
        <w:t>☐</w:t>
      </w:r>
      <w:r>
        <w:rPr>
          <w:color w:val="000000"/>
          <w:highlight w:val="white"/>
        </w:rPr>
        <w:t>Des échantillons, descriptions ou photographies des fournitures ;</w:t>
      </w:r>
    </w:p>
    <w:p w:rsidR="00976E54" w:rsidRDefault="00B77BA8">
      <w:pPr>
        <w:pBdr>
          <w:top w:val="nil"/>
          <w:left w:val="nil"/>
          <w:bottom w:val="nil"/>
          <w:right w:val="nil"/>
          <w:between w:val="nil"/>
        </w:pBdr>
        <w:spacing w:after="0" w:line="240" w:lineRule="auto"/>
        <w:jc w:val="both"/>
        <w:rPr>
          <w:color w:val="000000"/>
          <w:highlight w:val="white"/>
        </w:rPr>
      </w:pPr>
      <w:r>
        <w:rPr>
          <w:color w:val="000000"/>
          <w:highlight w:val="white"/>
        </w:rPr>
        <w:t xml:space="preserve">☐Des certificats établis par des instituts ou services officiels chargés du contrôle de la qualité et habilités à attester la conformité des fournitures par des références à certaines spécifications techniques : </w:t>
      </w:r>
      <w:r>
        <w:rPr>
          <w:b/>
          <w:color w:val="000000"/>
          <w:highlight w:val="yellow"/>
        </w:rPr>
        <w:t>[A compléter]</w:t>
      </w:r>
    </w:p>
    <w:p w:rsidR="00976E54" w:rsidRDefault="00B77BA8">
      <w:pPr>
        <w:pBdr>
          <w:top w:val="nil"/>
          <w:left w:val="nil"/>
          <w:bottom w:val="nil"/>
          <w:right w:val="nil"/>
          <w:between w:val="nil"/>
        </w:pBdr>
        <w:spacing w:after="0" w:line="240" w:lineRule="auto"/>
        <w:jc w:val="both"/>
        <w:rPr>
          <w:rFonts w:ascii="MS Gothic" w:eastAsia="MS Gothic" w:hAnsi="MS Gothic" w:cs="MS Gothic"/>
          <w:color w:val="000000"/>
          <w:highlight w:val="white"/>
        </w:rPr>
      </w:pPr>
      <w:r>
        <w:rPr>
          <w:rFonts w:ascii="MS Gothic" w:eastAsia="MS Gothic" w:hAnsi="MS Gothic" w:cs="MS Gothic"/>
          <w:color w:val="000000"/>
          <w:highlight w:val="white"/>
        </w:rPr>
        <w:t>☐</w:t>
      </w:r>
      <w:r>
        <w:rPr>
          <w:color w:val="000000"/>
          <w:highlight w:val="white"/>
        </w:rPr>
        <w:t xml:space="preserve">Des certificats de qualification professionnelle établis par des organismes indépendants. Dans ce cas, l'acheteur accepte tout moyen de preuve équivalent ainsi que les certificats équivalents d'organismes établis dans d'autres Etats membres : </w:t>
      </w:r>
      <w:r>
        <w:rPr>
          <w:b/>
          <w:color w:val="000000"/>
          <w:highlight w:val="yellow"/>
        </w:rPr>
        <w:t>[A compléter]</w:t>
      </w:r>
    </w:p>
    <w:p w:rsidR="00976E54" w:rsidRDefault="00976E54">
      <w:pPr>
        <w:rPr>
          <w:rFonts w:ascii="MS Gothic" w:eastAsia="MS Gothic" w:hAnsi="MS Gothic" w:cs="MS Gothic"/>
          <w:color w:val="000000"/>
          <w:highlight w:val="white"/>
        </w:rPr>
      </w:pPr>
    </w:p>
    <w:p w:rsidR="00976E54" w:rsidRDefault="00B77BA8">
      <w:pPr>
        <w:spacing w:after="0" w:line="240" w:lineRule="auto"/>
        <w:jc w:val="both"/>
        <w:rPr>
          <w:i/>
          <w:color w:val="0070C0"/>
          <w:sz w:val="20"/>
          <w:szCs w:val="20"/>
          <w:u w:val="single"/>
        </w:rPr>
      </w:pPr>
      <w:r>
        <w:rPr>
          <w:i/>
          <w:color w:val="0070C0"/>
          <w:sz w:val="20"/>
          <w:szCs w:val="20"/>
          <w:u w:val="single"/>
        </w:rPr>
        <w:t xml:space="preserve">Article 2141-6 et suivants du Code de la Commande Publique </w:t>
      </w:r>
    </w:p>
    <w:p w:rsidR="00976E54" w:rsidRDefault="00B77BA8">
      <w:pPr>
        <w:spacing w:after="0" w:line="240" w:lineRule="auto"/>
        <w:jc w:val="both"/>
        <w:rPr>
          <w:i/>
          <w:color w:val="0070C0"/>
          <w:sz w:val="20"/>
          <w:szCs w:val="20"/>
        </w:rPr>
      </w:pPr>
      <w:r>
        <w:rPr>
          <w:i/>
          <w:color w:val="0070C0"/>
          <w:sz w:val="20"/>
          <w:szCs w:val="20"/>
        </w:rPr>
        <w:t>L'acheteur peut exiger que les opérateurs économiques réalisent un chiffre d'affaires annuel minimal donné, notamment dans le domaine concerné par le marché public mais il ne peut être supérieur à deux fois le montant estimé du marché public ou du lot.</w:t>
      </w:r>
    </w:p>
    <w:p w:rsidR="00976E54" w:rsidRDefault="00976E54">
      <w:pPr>
        <w:spacing w:after="0" w:line="240" w:lineRule="auto"/>
        <w:jc w:val="both"/>
        <w:rPr>
          <w:i/>
          <w:color w:val="0070C0"/>
          <w:sz w:val="20"/>
          <w:szCs w:val="20"/>
        </w:rPr>
      </w:pPr>
    </w:p>
    <w:p w:rsidR="00976E54" w:rsidRDefault="00B77BA8">
      <w:pPr>
        <w:spacing w:after="0" w:line="240" w:lineRule="auto"/>
        <w:jc w:val="both"/>
        <w:rPr>
          <w:i/>
          <w:color w:val="0070C0"/>
          <w:sz w:val="20"/>
          <w:szCs w:val="20"/>
          <w:u w:val="single"/>
        </w:rPr>
      </w:pPr>
      <w:r>
        <w:rPr>
          <w:i/>
          <w:color w:val="0070C0"/>
          <w:sz w:val="20"/>
          <w:szCs w:val="20"/>
          <w:u w:val="single"/>
        </w:rPr>
        <w:t>Article 2111-9 du code de la commande publique</w:t>
      </w:r>
    </w:p>
    <w:p w:rsidR="00976E54" w:rsidRDefault="00B77BA8">
      <w:pPr>
        <w:spacing w:after="0" w:line="240" w:lineRule="auto"/>
        <w:jc w:val="both"/>
        <w:rPr>
          <w:i/>
          <w:color w:val="0070C0"/>
          <w:sz w:val="20"/>
          <w:szCs w:val="20"/>
        </w:rPr>
      </w:pPr>
      <w:r>
        <w:rPr>
          <w:i/>
          <w:color w:val="0070C0"/>
          <w:sz w:val="20"/>
          <w:szCs w:val="20"/>
        </w:rPr>
        <w:t>Possibilité de se référer à des Normes nationales transposant des normes européennes/Evaluation techniques européennes/Spécifications techniques communes/Normes internationales/Autres référentiels techniques élaborés par les organismes européens de normalisation, normes nationales, agrément techniques nationaux, spécifications techniques nationales en matière de conception, de calcul et de réalisation des ouvrages et d’utilisation des fournitures.</w:t>
      </w:r>
    </w:p>
    <w:p w:rsidR="00976E54" w:rsidRDefault="00B77BA8">
      <w:pPr>
        <w:spacing w:after="0" w:line="240" w:lineRule="auto"/>
        <w:jc w:val="both"/>
        <w:rPr>
          <w:b/>
          <w:i/>
          <w:color w:val="0070C0"/>
          <w:sz w:val="20"/>
          <w:szCs w:val="20"/>
          <w:u w:val="single"/>
        </w:rPr>
      </w:pPr>
      <w:r>
        <w:rPr>
          <w:b/>
          <w:i/>
          <w:color w:val="0070C0"/>
          <w:sz w:val="20"/>
          <w:szCs w:val="20"/>
        </w:rPr>
        <w:t>Attention : les candidats peuvent présenter une référence/norme équivalente.</w:t>
      </w:r>
      <w:r>
        <w:rPr>
          <w:b/>
          <w:i/>
          <w:color w:val="0070C0"/>
          <w:sz w:val="20"/>
          <w:szCs w:val="20"/>
          <w:u w:val="single"/>
        </w:rPr>
        <w:t xml:space="preserve"> (Sans possibilité de rejet)</w:t>
      </w:r>
    </w:p>
    <w:p w:rsidR="00976E54" w:rsidRDefault="00B77BA8">
      <w:pPr>
        <w:rPr>
          <w:b/>
          <w:u w:val="single"/>
        </w:rPr>
      </w:pPr>
      <w:r>
        <w:br w:type="page"/>
      </w:r>
    </w:p>
    <w:p w:rsidR="00976E54" w:rsidRDefault="00B77BA8">
      <w:pPr>
        <w:rPr>
          <w:b/>
          <w:u w:val="single"/>
        </w:rPr>
      </w:pPr>
      <w:r>
        <w:rPr>
          <w:b/>
          <w:u w:val="single"/>
        </w:rPr>
        <w:lastRenderedPageBreak/>
        <w:t>ANALYSE</w:t>
      </w:r>
    </w:p>
    <w:tbl>
      <w:tblPr>
        <w:tblStyle w:val="ab"/>
        <w:tblW w:w="681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84"/>
        <w:gridCol w:w="1843"/>
        <w:gridCol w:w="1984"/>
      </w:tblGrid>
      <w:tr w:rsidR="00976E54">
        <w:trPr>
          <w:trHeight w:val="284"/>
        </w:trPr>
        <w:tc>
          <w:tcPr>
            <w:tcW w:w="2984" w:type="dxa"/>
            <w:tcBorders>
              <w:top w:val="single" w:sz="4" w:space="0" w:color="000000"/>
              <w:left w:val="single" w:sz="4" w:space="0" w:color="000000"/>
              <w:bottom w:val="single" w:sz="4" w:space="0" w:color="000000"/>
              <w:right w:val="single" w:sz="4" w:space="0" w:color="000000"/>
            </w:tcBorders>
            <w:shd w:val="clear" w:color="auto" w:fill="BFBFBF"/>
          </w:tcPr>
          <w:p w:rsidR="00976E54" w:rsidRDefault="00B77BA8">
            <w:pPr>
              <w:jc w:val="center"/>
              <w:rPr>
                <w:b/>
                <w:sz w:val="18"/>
                <w:szCs w:val="18"/>
              </w:rPr>
            </w:pPr>
            <w:r>
              <w:rPr>
                <w:b/>
                <w:sz w:val="18"/>
                <w:szCs w:val="18"/>
              </w:rPr>
              <w:t>Evaluation du sous critère</w:t>
            </w:r>
          </w:p>
        </w:tc>
        <w:tc>
          <w:tcPr>
            <w:tcW w:w="1843" w:type="dxa"/>
            <w:tcBorders>
              <w:top w:val="single" w:sz="4" w:space="0" w:color="000000"/>
              <w:left w:val="single" w:sz="4" w:space="0" w:color="000000"/>
              <w:bottom w:val="single" w:sz="4" w:space="0" w:color="000000"/>
              <w:right w:val="single" w:sz="4" w:space="0" w:color="000000"/>
            </w:tcBorders>
            <w:shd w:val="clear" w:color="auto" w:fill="BFBFBF"/>
          </w:tcPr>
          <w:p w:rsidR="00976E54" w:rsidRDefault="00B77BA8">
            <w:pPr>
              <w:jc w:val="center"/>
              <w:rPr>
                <w:b/>
                <w:sz w:val="18"/>
                <w:szCs w:val="18"/>
              </w:rPr>
            </w:pPr>
            <w:r>
              <w:rPr>
                <w:b/>
                <w:sz w:val="18"/>
                <w:szCs w:val="18"/>
              </w:rPr>
              <w:t>% de la note maximale</w:t>
            </w:r>
          </w:p>
        </w:tc>
        <w:tc>
          <w:tcPr>
            <w:tcW w:w="1984" w:type="dxa"/>
            <w:tcBorders>
              <w:top w:val="single" w:sz="4" w:space="0" w:color="000000"/>
              <w:left w:val="single" w:sz="4" w:space="0" w:color="000000"/>
              <w:bottom w:val="single" w:sz="4" w:space="0" w:color="000000"/>
              <w:right w:val="single" w:sz="4" w:space="0" w:color="000000"/>
            </w:tcBorders>
            <w:shd w:val="clear" w:color="auto" w:fill="BFBFBF"/>
          </w:tcPr>
          <w:p w:rsidR="00976E54" w:rsidRDefault="00B77BA8">
            <w:pPr>
              <w:jc w:val="center"/>
              <w:rPr>
                <w:b/>
                <w:sz w:val="18"/>
                <w:szCs w:val="18"/>
              </w:rPr>
            </w:pPr>
            <w:r>
              <w:rPr>
                <w:b/>
                <w:sz w:val="18"/>
                <w:szCs w:val="18"/>
              </w:rPr>
              <w:t>Exemple pour une note sur 4</w:t>
            </w:r>
          </w:p>
        </w:tc>
      </w:tr>
      <w:tr w:rsidR="00976E54">
        <w:trPr>
          <w:trHeight w:val="284"/>
        </w:trPr>
        <w:tc>
          <w:tcPr>
            <w:tcW w:w="2984" w:type="dxa"/>
            <w:tcBorders>
              <w:top w:val="single" w:sz="4" w:space="0" w:color="000000"/>
              <w:left w:val="single" w:sz="4" w:space="0" w:color="000000"/>
              <w:bottom w:val="single" w:sz="4" w:space="0" w:color="000000"/>
              <w:right w:val="single" w:sz="4" w:space="0" w:color="000000"/>
            </w:tcBorders>
          </w:tcPr>
          <w:p w:rsidR="00976E54" w:rsidRDefault="00B77BA8">
            <w:pPr>
              <w:jc w:val="center"/>
              <w:rPr>
                <w:b/>
                <w:i/>
                <w:sz w:val="18"/>
                <w:szCs w:val="18"/>
              </w:rPr>
            </w:pPr>
            <w:r>
              <w:rPr>
                <w:b/>
                <w:i/>
                <w:sz w:val="18"/>
                <w:szCs w:val="18"/>
              </w:rPr>
              <w:t>Elément parfaitement traité</w:t>
            </w:r>
          </w:p>
        </w:tc>
        <w:tc>
          <w:tcPr>
            <w:tcW w:w="1843" w:type="dxa"/>
            <w:tcBorders>
              <w:top w:val="single" w:sz="4" w:space="0" w:color="000000"/>
              <w:left w:val="single" w:sz="4" w:space="0" w:color="000000"/>
              <w:bottom w:val="single" w:sz="4" w:space="0" w:color="000000"/>
              <w:right w:val="single" w:sz="4" w:space="0" w:color="000000"/>
            </w:tcBorders>
          </w:tcPr>
          <w:p w:rsidR="00976E54" w:rsidRDefault="00B77BA8">
            <w:pPr>
              <w:jc w:val="center"/>
              <w:rPr>
                <w:b/>
                <w:sz w:val="18"/>
                <w:szCs w:val="18"/>
              </w:rPr>
            </w:pPr>
            <w:r>
              <w:rPr>
                <w:b/>
                <w:sz w:val="18"/>
                <w:szCs w:val="18"/>
              </w:rPr>
              <w:t>100 %</w:t>
            </w:r>
          </w:p>
        </w:tc>
        <w:tc>
          <w:tcPr>
            <w:tcW w:w="1984" w:type="dxa"/>
            <w:tcBorders>
              <w:top w:val="single" w:sz="4" w:space="0" w:color="000000"/>
              <w:left w:val="single" w:sz="4" w:space="0" w:color="000000"/>
              <w:bottom w:val="single" w:sz="4" w:space="0" w:color="000000"/>
              <w:right w:val="single" w:sz="4" w:space="0" w:color="000000"/>
            </w:tcBorders>
          </w:tcPr>
          <w:p w:rsidR="00976E54" w:rsidRDefault="00B77BA8">
            <w:pPr>
              <w:jc w:val="center"/>
              <w:rPr>
                <w:b/>
                <w:sz w:val="18"/>
                <w:szCs w:val="18"/>
              </w:rPr>
            </w:pPr>
            <w:r>
              <w:rPr>
                <w:b/>
                <w:sz w:val="18"/>
                <w:szCs w:val="18"/>
              </w:rPr>
              <w:t>4</w:t>
            </w:r>
          </w:p>
        </w:tc>
      </w:tr>
      <w:tr w:rsidR="00976E54">
        <w:trPr>
          <w:trHeight w:val="284"/>
        </w:trPr>
        <w:tc>
          <w:tcPr>
            <w:tcW w:w="2984" w:type="dxa"/>
            <w:tcBorders>
              <w:top w:val="single" w:sz="4" w:space="0" w:color="000000"/>
              <w:left w:val="single" w:sz="4" w:space="0" w:color="000000"/>
              <w:bottom w:val="single" w:sz="4" w:space="0" w:color="000000"/>
              <w:right w:val="single" w:sz="4" w:space="0" w:color="000000"/>
            </w:tcBorders>
          </w:tcPr>
          <w:p w:rsidR="00976E54" w:rsidRDefault="00B77BA8">
            <w:pPr>
              <w:jc w:val="center"/>
              <w:rPr>
                <w:sz w:val="18"/>
                <w:szCs w:val="18"/>
              </w:rPr>
            </w:pPr>
            <w:r>
              <w:rPr>
                <w:b/>
                <w:i/>
                <w:sz w:val="18"/>
                <w:szCs w:val="18"/>
              </w:rPr>
              <w:t>Elément correctement traité</w:t>
            </w:r>
          </w:p>
        </w:tc>
        <w:tc>
          <w:tcPr>
            <w:tcW w:w="1843" w:type="dxa"/>
            <w:tcBorders>
              <w:top w:val="single" w:sz="4" w:space="0" w:color="000000"/>
              <w:left w:val="single" w:sz="4" w:space="0" w:color="000000"/>
              <w:bottom w:val="single" w:sz="4" w:space="0" w:color="000000"/>
              <w:right w:val="single" w:sz="4" w:space="0" w:color="000000"/>
            </w:tcBorders>
          </w:tcPr>
          <w:p w:rsidR="00976E54" w:rsidRDefault="00B77BA8">
            <w:pPr>
              <w:jc w:val="center"/>
              <w:rPr>
                <w:b/>
                <w:sz w:val="18"/>
                <w:szCs w:val="18"/>
              </w:rPr>
            </w:pPr>
            <w:r>
              <w:rPr>
                <w:b/>
                <w:sz w:val="18"/>
                <w:szCs w:val="18"/>
              </w:rPr>
              <w:t>75 %</w:t>
            </w:r>
          </w:p>
        </w:tc>
        <w:tc>
          <w:tcPr>
            <w:tcW w:w="1984" w:type="dxa"/>
            <w:tcBorders>
              <w:top w:val="single" w:sz="4" w:space="0" w:color="000000"/>
              <w:left w:val="single" w:sz="4" w:space="0" w:color="000000"/>
              <w:bottom w:val="single" w:sz="4" w:space="0" w:color="000000"/>
              <w:right w:val="single" w:sz="4" w:space="0" w:color="000000"/>
            </w:tcBorders>
          </w:tcPr>
          <w:p w:rsidR="00976E54" w:rsidRDefault="00B77BA8">
            <w:pPr>
              <w:jc w:val="center"/>
              <w:rPr>
                <w:b/>
                <w:sz w:val="18"/>
                <w:szCs w:val="18"/>
              </w:rPr>
            </w:pPr>
            <w:r>
              <w:rPr>
                <w:b/>
                <w:sz w:val="18"/>
                <w:szCs w:val="18"/>
              </w:rPr>
              <w:t>3</w:t>
            </w:r>
          </w:p>
        </w:tc>
      </w:tr>
      <w:tr w:rsidR="00976E54">
        <w:trPr>
          <w:trHeight w:val="284"/>
        </w:trPr>
        <w:tc>
          <w:tcPr>
            <w:tcW w:w="2984" w:type="dxa"/>
            <w:tcBorders>
              <w:top w:val="single" w:sz="4" w:space="0" w:color="000000"/>
              <w:left w:val="single" w:sz="4" w:space="0" w:color="000000"/>
              <w:bottom w:val="single" w:sz="4" w:space="0" w:color="000000"/>
              <w:right w:val="single" w:sz="4" w:space="0" w:color="000000"/>
            </w:tcBorders>
          </w:tcPr>
          <w:p w:rsidR="00976E54" w:rsidRDefault="00B77BA8">
            <w:pPr>
              <w:jc w:val="center"/>
              <w:rPr>
                <w:sz w:val="18"/>
                <w:szCs w:val="18"/>
              </w:rPr>
            </w:pPr>
            <w:r>
              <w:rPr>
                <w:b/>
                <w:i/>
                <w:sz w:val="18"/>
                <w:szCs w:val="18"/>
              </w:rPr>
              <w:t>Elément moyennement traité</w:t>
            </w:r>
          </w:p>
        </w:tc>
        <w:tc>
          <w:tcPr>
            <w:tcW w:w="1843" w:type="dxa"/>
            <w:tcBorders>
              <w:top w:val="single" w:sz="4" w:space="0" w:color="000000"/>
              <w:left w:val="single" w:sz="4" w:space="0" w:color="000000"/>
              <w:bottom w:val="single" w:sz="4" w:space="0" w:color="000000"/>
              <w:right w:val="single" w:sz="4" w:space="0" w:color="000000"/>
            </w:tcBorders>
          </w:tcPr>
          <w:p w:rsidR="00976E54" w:rsidRDefault="00B77BA8">
            <w:pPr>
              <w:jc w:val="center"/>
              <w:rPr>
                <w:b/>
                <w:sz w:val="18"/>
                <w:szCs w:val="18"/>
              </w:rPr>
            </w:pPr>
            <w:r>
              <w:rPr>
                <w:b/>
                <w:sz w:val="18"/>
                <w:szCs w:val="18"/>
              </w:rPr>
              <w:t>50 %</w:t>
            </w:r>
          </w:p>
        </w:tc>
        <w:tc>
          <w:tcPr>
            <w:tcW w:w="1984" w:type="dxa"/>
            <w:tcBorders>
              <w:top w:val="single" w:sz="4" w:space="0" w:color="000000"/>
              <w:left w:val="single" w:sz="4" w:space="0" w:color="000000"/>
              <w:bottom w:val="single" w:sz="4" w:space="0" w:color="000000"/>
              <w:right w:val="single" w:sz="4" w:space="0" w:color="000000"/>
            </w:tcBorders>
          </w:tcPr>
          <w:p w:rsidR="00976E54" w:rsidRDefault="00B77BA8">
            <w:pPr>
              <w:jc w:val="center"/>
              <w:rPr>
                <w:b/>
                <w:sz w:val="18"/>
                <w:szCs w:val="18"/>
              </w:rPr>
            </w:pPr>
            <w:r>
              <w:rPr>
                <w:b/>
                <w:sz w:val="18"/>
                <w:szCs w:val="18"/>
              </w:rPr>
              <w:t>2</w:t>
            </w:r>
          </w:p>
        </w:tc>
      </w:tr>
      <w:tr w:rsidR="00976E54">
        <w:trPr>
          <w:trHeight w:val="284"/>
        </w:trPr>
        <w:tc>
          <w:tcPr>
            <w:tcW w:w="2984" w:type="dxa"/>
            <w:tcBorders>
              <w:top w:val="single" w:sz="4" w:space="0" w:color="000000"/>
              <w:left w:val="single" w:sz="4" w:space="0" w:color="000000"/>
              <w:bottom w:val="single" w:sz="4" w:space="0" w:color="000000"/>
              <w:right w:val="single" w:sz="4" w:space="0" w:color="000000"/>
            </w:tcBorders>
          </w:tcPr>
          <w:p w:rsidR="00976E54" w:rsidRDefault="00B77BA8">
            <w:pPr>
              <w:jc w:val="center"/>
              <w:rPr>
                <w:sz w:val="18"/>
                <w:szCs w:val="18"/>
              </w:rPr>
            </w:pPr>
            <w:r>
              <w:rPr>
                <w:b/>
                <w:i/>
                <w:sz w:val="18"/>
                <w:szCs w:val="18"/>
              </w:rPr>
              <w:t>Elément médiocrement traité</w:t>
            </w:r>
          </w:p>
        </w:tc>
        <w:tc>
          <w:tcPr>
            <w:tcW w:w="1843" w:type="dxa"/>
            <w:tcBorders>
              <w:top w:val="single" w:sz="4" w:space="0" w:color="000000"/>
              <w:left w:val="single" w:sz="4" w:space="0" w:color="000000"/>
              <w:bottom w:val="single" w:sz="4" w:space="0" w:color="000000"/>
              <w:right w:val="single" w:sz="4" w:space="0" w:color="000000"/>
            </w:tcBorders>
          </w:tcPr>
          <w:p w:rsidR="00976E54" w:rsidRDefault="00B77BA8">
            <w:pPr>
              <w:jc w:val="center"/>
              <w:rPr>
                <w:b/>
                <w:sz w:val="18"/>
                <w:szCs w:val="18"/>
              </w:rPr>
            </w:pPr>
            <w:r>
              <w:rPr>
                <w:b/>
                <w:sz w:val="18"/>
                <w:szCs w:val="18"/>
              </w:rPr>
              <w:t>25 %</w:t>
            </w:r>
          </w:p>
        </w:tc>
        <w:tc>
          <w:tcPr>
            <w:tcW w:w="1984" w:type="dxa"/>
            <w:tcBorders>
              <w:top w:val="single" w:sz="4" w:space="0" w:color="000000"/>
              <w:left w:val="single" w:sz="4" w:space="0" w:color="000000"/>
              <w:bottom w:val="single" w:sz="4" w:space="0" w:color="000000"/>
              <w:right w:val="single" w:sz="4" w:space="0" w:color="000000"/>
            </w:tcBorders>
          </w:tcPr>
          <w:p w:rsidR="00976E54" w:rsidRDefault="00B77BA8">
            <w:pPr>
              <w:jc w:val="center"/>
              <w:rPr>
                <w:b/>
                <w:sz w:val="18"/>
                <w:szCs w:val="18"/>
              </w:rPr>
            </w:pPr>
            <w:r>
              <w:rPr>
                <w:b/>
                <w:sz w:val="18"/>
                <w:szCs w:val="18"/>
              </w:rPr>
              <w:t>1</w:t>
            </w:r>
          </w:p>
        </w:tc>
      </w:tr>
      <w:tr w:rsidR="00976E54">
        <w:trPr>
          <w:trHeight w:val="284"/>
        </w:trPr>
        <w:tc>
          <w:tcPr>
            <w:tcW w:w="2984" w:type="dxa"/>
            <w:tcBorders>
              <w:top w:val="single" w:sz="4" w:space="0" w:color="000000"/>
              <w:left w:val="single" w:sz="4" w:space="0" w:color="000000"/>
              <w:bottom w:val="single" w:sz="4" w:space="0" w:color="000000"/>
              <w:right w:val="single" w:sz="4" w:space="0" w:color="000000"/>
            </w:tcBorders>
          </w:tcPr>
          <w:p w:rsidR="00976E54" w:rsidRDefault="00B77BA8">
            <w:pPr>
              <w:jc w:val="center"/>
              <w:rPr>
                <w:sz w:val="18"/>
                <w:szCs w:val="18"/>
              </w:rPr>
            </w:pPr>
            <w:r>
              <w:rPr>
                <w:b/>
                <w:i/>
                <w:sz w:val="18"/>
                <w:szCs w:val="18"/>
              </w:rPr>
              <w:t>Elément non traité</w:t>
            </w:r>
          </w:p>
        </w:tc>
        <w:tc>
          <w:tcPr>
            <w:tcW w:w="1843" w:type="dxa"/>
            <w:tcBorders>
              <w:top w:val="single" w:sz="4" w:space="0" w:color="000000"/>
              <w:left w:val="single" w:sz="4" w:space="0" w:color="000000"/>
              <w:bottom w:val="single" w:sz="4" w:space="0" w:color="000000"/>
              <w:right w:val="single" w:sz="4" w:space="0" w:color="000000"/>
            </w:tcBorders>
          </w:tcPr>
          <w:p w:rsidR="00976E54" w:rsidRDefault="00B77BA8">
            <w:pPr>
              <w:jc w:val="center"/>
              <w:rPr>
                <w:b/>
                <w:sz w:val="18"/>
                <w:szCs w:val="18"/>
              </w:rPr>
            </w:pPr>
            <w:r>
              <w:rPr>
                <w:b/>
                <w:sz w:val="18"/>
                <w:szCs w:val="18"/>
              </w:rPr>
              <w:t>0 %</w:t>
            </w:r>
          </w:p>
        </w:tc>
        <w:tc>
          <w:tcPr>
            <w:tcW w:w="1984" w:type="dxa"/>
            <w:tcBorders>
              <w:top w:val="single" w:sz="4" w:space="0" w:color="000000"/>
              <w:left w:val="single" w:sz="4" w:space="0" w:color="000000"/>
              <w:bottom w:val="single" w:sz="4" w:space="0" w:color="000000"/>
              <w:right w:val="single" w:sz="4" w:space="0" w:color="000000"/>
            </w:tcBorders>
          </w:tcPr>
          <w:p w:rsidR="00976E54" w:rsidRDefault="00B77BA8">
            <w:pPr>
              <w:jc w:val="center"/>
              <w:rPr>
                <w:b/>
                <w:sz w:val="18"/>
                <w:szCs w:val="18"/>
              </w:rPr>
            </w:pPr>
            <w:r>
              <w:rPr>
                <w:b/>
                <w:sz w:val="18"/>
                <w:szCs w:val="18"/>
              </w:rPr>
              <w:t>0</w:t>
            </w:r>
          </w:p>
        </w:tc>
      </w:tr>
    </w:tbl>
    <w:p w:rsidR="00976E54" w:rsidRDefault="00976E54">
      <w:pPr>
        <w:rPr>
          <w:b/>
          <w:u w:val="single"/>
        </w:rPr>
      </w:pPr>
    </w:p>
    <w:p w:rsidR="00976E54" w:rsidRDefault="00B77BA8">
      <w:pPr>
        <w:pBdr>
          <w:top w:val="nil"/>
          <w:left w:val="nil"/>
          <w:bottom w:val="nil"/>
          <w:right w:val="nil"/>
          <w:between w:val="nil"/>
        </w:pBdr>
        <w:spacing w:after="0" w:line="240" w:lineRule="auto"/>
        <w:jc w:val="both"/>
        <w:rPr>
          <w:color w:val="000000"/>
          <w:highlight w:val="white"/>
        </w:rPr>
      </w:pPr>
      <w:r>
        <w:rPr>
          <w:color w:val="000000"/>
          <w:highlight w:val="white"/>
        </w:rPr>
        <w:t>Les éléments administratifs de l’offre des candidats sont analysés comme suit :</w:t>
      </w:r>
    </w:p>
    <w:tbl>
      <w:tblPr>
        <w:tblStyle w:val="Grilledutableau"/>
        <w:tblW w:w="9284" w:type="dxa"/>
        <w:jc w:val="center"/>
        <w:tblInd w:w="0" w:type="dxa"/>
        <w:tblLook w:val="04A0" w:firstRow="1" w:lastRow="0" w:firstColumn="1" w:lastColumn="0" w:noHBand="0" w:noVBand="1"/>
      </w:tblPr>
      <w:tblGrid>
        <w:gridCol w:w="3070"/>
        <w:gridCol w:w="1678"/>
        <w:gridCol w:w="4536"/>
      </w:tblGrid>
      <w:tr w:rsidR="009D7892" w:rsidTr="009D7892">
        <w:trPr>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Critère</w:t>
            </w:r>
          </w:p>
        </w:tc>
        <w:tc>
          <w:tcPr>
            <w:tcW w:w="1678"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Nombre de point maximal attribué</w:t>
            </w:r>
          </w:p>
        </w:tc>
        <w:tc>
          <w:tcPr>
            <w:tcW w:w="4536"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Barème</w:t>
            </w:r>
          </w:p>
        </w:tc>
      </w:tr>
      <w:tr w:rsidR="009D7892" w:rsidTr="009D7892">
        <w:trPr>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Situation des opérateurs et capacité à soumissionner</w:t>
            </w:r>
          </w:p>
        </w:tc>
        <w:tc>
          <w:tcPr>
            <w:tcW w:w="1678"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pas de notation</w:t>
            </w:r>
          </w:p>
        </w:tc>
        <w:tc>
          <w:tcPr>
            <w:tcW w:w="4536" w:type="dxa"/>
            <w:tcBorders>
              <w:top w:val="single" w:sz="4" w:space="0" w:color="auto"/>
              <w:left w:val="single" w:sz="4" w:space="0" w:color="auto"/>
              <w:bottom w:val="single" w:sz="4" w:space="0" w:color="auto"/>
              <w:right w:val="single" w:sz="4" w:space="0" w:color="auto"/>
            </w:tcBorders>
            <w:vAlign w:val="center"/>
            <w:hideMark/>
          </w:tcPr>
          <w:p w:rsidR="009D7892" w:rsidRDefault="009D7892">
            <w:pPr>
              <w:rPr>
                <w:b/>
              </w:rPr>
            </w:pPr>
            <w:r>
              <w:t>intégralité des pièces demandées à fournir</w:t>
            </w:r>
          </w:p>
        </w:tc>
      </w:tr>
      <w:tr w:rsidR="009D7892" w:rsidTr="009D7892">
        <w:trPr>
          <w:jc w:val="center"/>
        </w:trPr>
        <w:tc>
          <w:tcPr>
            <w:tcW w:w="3070" w:type="dxa"/>
            <w:vMerge w:val="restart"/>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Capacité économique et financière</w:t>
            </w:r>
          </w:p>
        </w:tc>
        <w:tc>
          <w:tcPr>
            <w:tcW w:w="1678"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3</w:t>
            </w:r>
          </w:p>
        </w:tc>
        <w:tc>
          <w:tcPr>
            <w:tcW w:w="4536" w:type="dxa"/>
            <w:tcBorders>
              <w:top w:val="single" w:sz="4" w:space="0" w:color="auto"/>
              <w:left w:val="single" w:sz="4" w:space="0" w:color="auto"/>
              <w:bottom w:val="single" w:sz="4" w:space="0" w:color="auto"/>
              <w:right w:val="single" w:sz="4" w:space="0" w:color="auto"/>
            </w:tcBorders>
            <w:hideMark/>
          </w:tcPr>
          <w:p w:rsidR="009D7892" w:rsidRDefault="009D7892">
            <w:pPr>
              <w:rPr>
                <w:b/>
                <w:i/>
                <w:u w:val="single"/>
              </w:rPr>
            </w:pPr>
            <w:proofErr w:type="gramStart"/>
            <w:r>
              <w:rPr>
                <w:b/>
                <w:i/>
                <w:u w:val="single"/>
              </w:rPr>
              <w:t>CA  GLOBAL</w:t>
            </w:r>
            <w:proofErr w:type="gramEnd"/>
            <w:r>
              <w:rPr>
                <w:b/>
                <w:i/>
                <w:u w:val="single"/>
              </w:rPr>
              <w:t xml:space="preserve"> des trois dernières années</w:t>
            </w:r>
          </w:p>
          <w:p w:rsidR="009D7892" w:rsidRDefault="009D7892">
            <w:proofErr w:type="gramStart"/>
            <w:r>
              <w:t>CA</w:t>
            </w:r>
            <w:proofErr w:type="gramEnd"/>
            <w:r>
              <w:t xml:space="preserve"> &gt; 5M€ = 3</w:t>
            </w:r>
          </w:p>
          <w:p w:rsidR="009D7892" w:rsidRDefault="009D7892">
            <w:r>
              <w:t>1M€&gt;CA &gt; 3M€ = 1</w:t>
            </w:r>
          </w:p>
          <w:p w:rsidR="009D7892" w:rsidRDefault="009D7892">
            <w:r>
              <w:t>CA &lt; 1 M€ = 0</w:t>
            </w:r>
          </w:p>
        </w:tc>
      </w:tr>
      <w:tr w:rsidR="009D7892" w:rsidTr="009D789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D7892" w:rsidRDefault="009D7892">
            <w:pPr>
              <w:rPr>
                <w:lang w:eastAsia="en-US"/>
              </w:rPr>
            </w:pPr>
          </w:p>
        </w:tc>
        <w:tc>
          <w:tcPr>
            <w:tcW w:w="1678"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3</w:t>
            </w:r>
          </w:p>
        </w:tc>
        <w:tc>
          <w:tcPr>
            <w:tcW w:w="4536" w:type="dxa"/>
            <w:tcBorders>
              <w:top w:val="single" w:sz="4" w:space="0" w:color="auto"/>
              <w:left w:val="single" w:sz="4" w:space="0" w:color="auto"/>
              <w:bottom w:val="single" w:sz="4" w:space="0" w:color="auto"/>
              <w:right w:val="single" w:sz="4" w:space="0" w:color="auto"/>
            </w:tcBorders>
            <w:hideMark/>
          </w:tcPr>
          <w:p w:rsidR="009D7892" w:rsidRDefault="009D7892">
            <w:pPr>
              <w:rPr>
                <w:b/>
                <w:i/>
                <w:u w:val="single"/>
              </w:rPr>
            </w:pPr>
            <w:proofErr w:type="gramStart"/>
            <w:r>
              <w:rPr>
                <w:b/>
                <w:i/>
                <w:u w:val="single"/>
              </w:rPr>
              <w:t>CA  SECTEURS</w:t>
            </w:r>
            <w:proofErr w:type="gramEnd"/>
            <w:r>
              <w:rPr>
                <w:b/>
                <w:i/>
                <w:u w:val="single"/>
              </w:rPr>
              <w:t xml:space="preserve"> ACTIVITES des trois dernières années</w:t>
            </w:r>
          </w:p>
          <w:p w:rsidR="009D7892" w:rsidRDefault="009D7892">
            <w:proofErr w:type="gramStart"/>
            <w:r>
              <w:t>CA</w:t>
            </w:r>
            <w:proofErr w:type="gramEnd"/>
            <w:r>
              <w:t xml:space="preserve"> &gt; 5M€ = 3</w:t>
            </w:r>
          </w:p>
          <w:p w:rsidR="009D7892" w:rsidRDefault="009D7892">
            <w:r>
              <w:t>1M€&gt;CA &gt; 3M€ = 1</w:t>
            </w:r>
          </w:p>
          <w:p w:rsidR="009D7892" w:rsidRDefault="009D7892">
            <w:r>
              <w:t>CA &lt; 5 M€ = 0</w:t>
            </w:r>
          </w:p>
        </w:tc>
      </w:tr>
      <w:tr w:rsidR="009D7892" w:rsidTr="009D789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D7892" w:rsidRDefault="009D7892">
            <w:pPr>
              <w:rPr>
                <w:lang w:eastAsia="en-US"/>
              </w:rPr>
            </w:pPr>
          </w:p>
        </w:tc>
        <w:tc>
          <w:tcPr>
            <w:tcW w:w="1678"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2</w:t>
            </w:r>
          </w:p>
        </w:tc>
        <w:tc>
          <w:tcPr>
            <w:tcW w:w="4536" w:type="dxa"/>
            <w:tcBorders>
              <w:top w:val="single" w:sz="4" w:space="0" w:color="auto"/>
              <w:left w:val="single" w:sz="4" w:space="0" w:color="auto"/>
              <w:bottom w:val="single" w:sz="4" w:space="0" w:color="auto"/>
              <w:right w:val="single" w:sz="4" w:space="0" w:color="auto"/>
            </w:tcBorders>
            <w:hideMark/>
          </w:tcPr>
          <w:p w:rsidR="009D7892" w:rsidRDefault="009D7892">
            <w:pPr>
              <w:rPr>
                <w:b/>
                <w:i/>
                <w:u w:val="single"/>
              </w:rPr>
            </w:pPr>
            <w:r>
              <w:rPr>
                <w:b/>
                <w:i/>
                <w:u w:val="single"/>
              </w:rPr>
              <w:t>Responsabilité civile</w:t>
            </w:r>
          </w:p>
          <w:p w:rsidR="009D7892" w:rsidRDefault="009D7892">
            <w:proofErr w:type="gramStart"/>
            <w:r>
              <w:t>satisfaisant</w:t>
            </w:r>
            <w:proofErr w:type="gramEnd"/>
            <w:r>
              <w:t>= 2</w:t>
            </w:r>
          </w:p>
          <w:p w:rsidR="009D7892" w:rsidRDefault="009D7892">
            <w:pPr>
              <w:rPr>
                <w:highlight w:val="yellow"/>
              </w:rPr>
            </w:pPr>
            <w:r>
              <w:t>non satisfaisant  = 0</w:t>
            </w:r>
          </w:p>
        </w:tc>
      </w:tr>
      <w:tr w:rsidR="009D7892" w:rsidTr="009D789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D7892" w:rsidRDefault="009D7892">
            <w:pPr>
              <w:rPr>
                <w:lang w:eastAsia="en-US"/>
              </w:rPr>
            </w:pPr>
          </w:p>
        </w:tc>
        <w:tc>
          <w:tcPr>
            <w:tcW w:w="1678"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1</w:t>
            </w:r>
          </w:p>
        </w:tc>
        <w:tc>
          <w:tcPr>
            <w:tcW w:w="4536" w:type="dxa"/>
            <w:tcBorders>
              <w:top w:val="single" w:sz="4" w:space="0" w:color="auto"/>
              <w:left w:val="single" w:sz="4" w:space="0" w:color="auto"/>
              <w:bottom w:val="single" w:sz="4" w:space="0" w:color="auto"/>
              <w:right w:val="single" w:sz="4" w:space="0" w:color="auto"/>
            </w:tcBorders>
            <w:hideMark/>
          </w:tcPr>
          <w:p w:rsidR="009D7892" w:rsidRDefault="009D7892">
            <w:pPr>
              <w:rPr>
                <w:b/>
                <w:i/>
                <w:u w:val="single"/>
              </w:rPr>
            </w:pPr>
            <w:r>
              <w:rPr>
                <w:b/>
                <w:i/>
                <w:u w:val="single"/>
              </w:rPr>
              <w:t>Responsabilité décennale</w:t>
            </w:r>
          </w:p>
          <w:p w:rsidR="009D7892" w:rsidRDefault="009D7892">
            <w:r>
              <w:t>FOURNIE = 1</w:t>
            </w:r>
          </w:p>
          <w:p w:rsidR="009D7892" w:rsidRDefault="009D7892">
            <w:pPr>
              <w:rPr>
                <w:highlight w:val="yellow"/>
              </w:rPr>
            </w:pPr>
            <w:r>
              <w:t>NON FOURNIE = 0</w:t>
            </w:r>
          </w:p>
        </w:tc>
      </w:tr>
      <w:tr w:rsidR="009D7892" w:rsidTr="009D7892">
        <w:trPr>
          <w:jc w:val="center"/>
        </w:trPr>
        <w:tc>
          <w:tcPr>
            <w:tcW w:w="3070" w:type="dxa"/>
            <w:vMerge w:val="restart"/>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rPr>
                <w:rFonts w:cs="Arial"/>
                <w:color w:val="222222"/>
                <w:shd w:val="clear" w:color="auto" w:fill="FFFFFF"/>
              </w:rPr>
              <w:t>Capacité technique et professionnelle</w:t>
            </w:r>
          </w:p>
        </w:tc>
        <w:tc>
          <w:tcPr>
            <w:tcW w:w="1678"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3</w:t>
            </w:r>
          </w:p>
        </w:tc>
        <w:tc>
          <w:tcPr>
            <w:tcW w:w="4536" w:type="dxa"/>
            <w:tcBorders>
              <w:top w:val="single" w:sz="4" w:space="0" w:color="auto"/>
              <w:left w:val="single" w:sz="4" w:space="0" w:color="auto"/>
              <w:bottom w:val="single" w:sz="4" w:space="0" w:color="auto"/>
              <w:right w:val="single" w:sz="4" w:space="0" w:color="auto"/>
            </w:tcBorders>
            <w:hideMark/>
          </w:tcPr>
          <w:p w:rsidR="009D7892" w:rsidRDefault="009D7892">
            <w:pPr>
              <w:rPr>
                <w:b/>
                <w:i/>
                <w:u w:val="single"/>
              </w:rPr>
            </w:pPr>
            <w:r>
              <w:rPr>
                <w:b/>
                <w:i/>
                <w:u w:val="single"/>
              </w:rPr>
              <w:t>Effectifs</w:t>
            </w:r>
          </w:p>
          <w:p w:rsidR="009D7892" w:rsidRDefault="009D7892">
            <w:r>
              <w:t>Capacité suffisante = 3</w:t>
            </w:r>
          </w:p>
          <w:p w:rsidR="009D7892" w:rsidRDefault="009D7892">
            <w:r>
              <w:t>Capacité moyenne = 1</w:t>
            </w:r>
          </w:p>
          <w:p w:rsidR="009D7892" w:rsidRDefault="009D7892">
            <w:r>
              <w:t>Capacité insuffisante = 0</w:t>
            </w:r>
          </w:p>
        </w:tc>
      </w:tr>
      <w:tr w:rsidR="009D7892" w:rsidTr="009D789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D7892" w:rsidRDefault="009D7892">
            <w:pPr>
              <w:rPr>
                <w:lang w:eastAsia="en-US"/>
              </w:rPr>
            </w:pPr>
          </w:p>
        </w:tc>
        <w:tc>
          <w:tcPr>
            <w:tcW w:w="1678"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3</w:t>
            </w:r>
          </w:p>
        </w:tc>
        <w:tc>
          <w:tcPr>
            <w:tcW w:w="4536" w:type="dxa"/>
            <w:tcBorders>
              <w:top w:val="single" w:sz="4" w:space="0" w:color="auto"/>
              <w:left w:val="single" w:sz="4" w:space="0" w:color="auto"/>
              <w:bottom w:val="single" w:sz="4" w:space="0" w:color="auto"/>
              <w:right w:val="single" w:sz="4" w:space="0" w:color="auto"/>
            </w:tcBorders>
            <w:hideMark/>
          </w:tcPr>
          <w:p w:rsidR="009D7892" w:rsidRDefault="009D7892">
            <w:pPr>
              <w:rPr>
                <w:b/>
                <w:i/>
                <w:u w:val="single"/>
              </w:rPr>
            </w:pPr>
            <w:r>
              <w:rPr>
                <w:b/>
                <w:i/>
                <w:u w:val="single"/>
              </w:rPr>
              <w:t>Parc machine</w:t>
            </w:r>
          </w:p>
          <w:p w:rsidR="009D7892" w:rsidRDefault="009D7892">
            <w:r>
              <w:t>Capacité suffisante = 3</w:t>
            </w:r>
          </w:p>
          <w:p w:rsidR="009D7892" w:rsidRDefault="009D7892">
            <w:r>
              <w:t>Capacité moyenne = 1</w:t>
            </w:r>
          </w:p>
          <w:p w:rsidR="009D7892" w:rsidRDefault="009D7892">
            <w:r>
              <w:t>Capacité insuffisante = 0</w:t>
            </w:r>
          </w:p>
        </w:tc>
      </w:tr>
      <w:tr w:rsidR="009D7892" w:rsidTr="009D7892">
        <w:trPr>
          <w:trHeight w:val="675"/>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Références</w:t>
            </w:r>
          </w:p>
        </w:tc>
        <w:tc>
          <w:tcPr>
            <w:tcW w:w="1678"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3</w:t>
            </w:r>
          </w:p>
        </w:tc>
        <w:tc>
          <w:tcPr>
            <w:tcW w:w="4536" w:type="dxa"/>
            <w:tcBorders>
              <w:top w:val="single" w:sz="4" w:space="0" w:color="auto"/>
              <w:left w:val="single" w:sz="4" w:space="0" w:color="auto"/>
              <w:bottom w:val="single" w:sz="4" w:space="0" w:color="auto"/>
              <w:right w:val="single" w:sz="4" w:space="0" w:color="auto"/>
            </w:tcBorders>
            <w:hideMark/>
          </w:tcPr>
          <w:p w:rsidR="009D7892" w:rsidRDefault="009D7892">
            <w:r>
              <w:rPr>
                <w:b/>
                <w:i/>
                <w:u w:val="single"/>
              </w:rPr>
              <w:t>Référence Réseau de Chaleur</w:t>
            </w:r>
          </w:p>
          <w:p w:rsidR="009D7892" w:rsidRDefault="009D7892">
            <w:r>
              <w:t>Références suffisantes = 3</w:t>
            </w:r>
          </w:p>
          <w:p w:rsidR="009D7892" w:rsidRDefault="009D7892">
            <w:r>
              <w:t>Références moyennes = 1</w:t>
            </w:r>
          </w:p>
          <w:p w:rsidR="009D7892" w:rsidRDefault="009D7892">
            <w:r>
              <w:t>Références insuffisantes = 0</w:t>
            </w:r>
          </w:p>
        </w:tc>
      </w:tr>
      <w:tr w:rsidR="009D7892" w:rsidTr="009D7892">
        <w:trPr>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proofErr w:type="spellStart"/>
            <w:r>
              <w:t>Co-traitance</w:t>
            </w:r>
            <w:proofErr w:type="spellEnd"/>
            <w:r>
              <w:t xml:space="preserve"> ou sous-traitance</w:t>
            </w:r>
          </w:p>
        </w:tc>
        <w:tc>
          <w:tcPr>
            <w:tcW w:w="1678" w:type="dxa"/>
            <w:tcBorders>
              <w:top w:val="single" w:sz="4" w:space="0" w:color="auto"/>
              <w:left w:val="single" w:sz="4" w:space="0" w:color="auto"/>
              <w:bottom w:val="single" w:sz="4" w:space="0" w:color="auto"/>
              <w:right w:val="single" w:sz="4" w:space="0" w:color="auto"/>
            </w:tcBorders>
            <w:vAlign w:val="center"/>
            <w:hideMark/>
          </w:tcPr>
          <w:p w:rsidR="009D7892" w:rsidRDefault="009D7892">
            <w:pPr>
              <w:jc w:val="center"/>
            </w:pPr>
            <w:r>
              <w:t>0</w:t>
            </w:r>
          </w:p>
        </w:tc>
        <w:tc>
          <w:tcPr>
            <w:tcW w:w="4536" w:type="dxa"/>
            <w:tcBorders>
              <w:top w:val="single" w:sz="4" w:space="0" w:color="auto"/>
              <w:left w:val="single" w:sz="4" w:space="0" w:color="auto"/>
              <w:bottom w:val="single" w:sz="4" w:space="0" w:color="auto"/>
              <w:right w:val="single" w:sz="4" w:space="0" w:color="auto"/>
            </w:tcBorders>
            <w:hideMark/>
          </w:tcPr>
          <w:p w:rsidR="009D7892" w:rsidRDefault="009D7892">
            <w:r>
              <w:rPr>
                <w:b/>
                <w:i/>
                <w:u w:val="single"/>
              </w:rPr>
              <w:t>Prise en compte de l'effectif et des moyens techniques du groupement autres que le mandataire ou du sous-traitant du titulaire</w:t>
            </w:r>
          </w:p>
          <w:p w:rsidR="009D7892" w:rsidRDefault="009D7892">
            <w:r>
              <w:t>Références suffisantes = 1</w:t>
            </w:r>
          </w:p>
          <w:p w:rsidR="009D7892" w:rsidRDefault="009D7892">
            <w:r>
              <w:t>Références insuffisantes = 0</w:t>
            </w:r>
          </w:p>
        </w:tc>
      </w:tr>
    </w:tbl>
    <w:p w:rsidR="00976E54" w:rsidRDefault="00976E54">
      <w:pPr>
        <w:pBdr>
          <w:top w:val="nil"/>
          <w:left w:val="nil"/>
          <w:bottom w:val="nil"/>
          <w:right w:val="nil"/>
          <w:between w:val="nil"/>
        </w:pBdr>
        <w:spacing w:after="0" w:line="240" w:lineRule="auto"/>
        <w:ind w:left="720"/>
        <w:jc w:val="both"/>
        <w:rPr>
          <w:color w:val="000000"/>
          <w:highlight w:val="white"/>
        </w:rPr>
      </w:pPr>
    </w:p>
    <w:p w:rsidR="009D7892" w:rsidRDefault="009D7892">
      <w:pPr>
        <w:pBdr>
          <w:top w:val="nil"/>
          <w:left w:val="nil"/>
          <w:bottom w:val="nil"/>
          <w:right w:val="nil"/>
          <w:between w:val="nil"/>
        </w:pBdr>
        <w:spacing w:after="0" w:line="240" w:lineRule="auto"/>
        <w:ind w:left="720"/>
        <w:jc w:val="both"/>
        <w:rPr>
          <w:color w:val="000000"/>
          <w:highlight w:val="white"/>
        </w:rPr>
      </w:pPr>
    </w:p>
    <w:p w:rsidR="00976E54" w:rsidRDefault="00B77BA8">
      <w:pPr>
        <w:pBdr>
          <w:top w:val="nil"/>
          <w:left w:val="nil"/>
          <w:bottom w:val="nil"/>
          <w:right w:val="nil"/>
          <w:between w:val="nil"/>
        </w:pBdr>
        <w:spacing w:after="0" w:line="240" w:lineRule="auto"/>
        <w:jc w:val="both"/>
        <w:rPr>
          <w:color w:val="000000"/>
          <w:highlight w:val="white"/>
        </w:rPr>
      </w:pPr>
      <w:r>
        <w:rPr>
          <w:color w:val="000000"/>
          <w:highlight w:val="white"/>
        </w:rPr>
        <w:lastRenderedPageBreak/>
        <w:t>Les éléments financiers de l’offre des candidats sont analysés comme suit </w:t>
      </w:r>
      <w:r>
        <w:rPr>
          <w:rFonts w:ascii="Arial" w:eastAsia="Arial" w:hAnsi="Arial" w:cs="Arial"/>
          <w:sz w:val="20"/>
          <w:szCs w:val="20"/>
        </w:rPr>
        <w:t xml:space="preserve">B </w:t>
      </w:r>
      <w:proofErr w:type="gramStart"/>
      <w:r>
        <w:rPr>
          <w:rFonts w:ascii="Arial" w:eastAsia="Arial" w:hAnsi="Arial" w:cs="Arial"/>
          <w:sz w:val="20"/>
          <w:szCs w:val="20"/>
        </w:rPr>
        <w:t>=  [</w:t>
      </w:r>
      <w:proofErr w:type="spellStart"/>
      <w:proofErr w:type="gramEnd"/>
      <w:r>
        <w:rPr>
          <w:rFonts w:ascii="Arial" w:eastAsia="Arial" w:hAnsi="Arial" w:cs="Arial"/>
          <w:sz w:val="20"/>
          <w:szCs w:val="20"/>
        </w:rPr>
        <w:t>P+bas</w:t>
      </w:r>
      <w:proofErr w:type="spellEnd"/>
      <w:r>
        <w:rPr>
          <w:rFonts w:ascii="Arial" w:eastAsia="Arial" w:hAnsi="Arial" w:cs="Arial"/>
          <w:sz w:val="20"/>
          <w:szCs w:val="20"/>
        </w:rPr>
        <w:t xml:space="preserve">/ </w:t>
      </w:r>
      <w:proofErr w:type="spellStart"/>
      <w:r>
        <w:rPr>
          <w:rFonts w:ascii="Arial" w:eastAsia="Arial" w:hAnsi="Arial" w:cs="Arial"/>
          <w:sz w:val="20"/>
          <w:szCs w:val="20"/>
        </w:rPr>
        <w:t>Poffre</w:t>
      </w:r>
      <w:proofErr w:type="spellEnd"/>
      <w:r>
        <w:rPr>
          <w:rFonts w:ascii="Arial" w:eastAsia="Arial" w:hAnsi="Arial" w:cs="Arial"/>
          <w:sz w:val="20"/>
          <w:szCs w:val="20"/>
        </w:rPr>
        <w:t xml:space="preserve"> / ] x Z </w:t>
      </w:r>
      <w:r>
        <w:rPr>
          <w:sz w:val="20"/>
          <w:szCs w:val="20"/>
        </w:rPr>
        <w:t xml:space="preserve"> </w:t>
      </w:r>
    </w:p>
    <w:p w:rsidR="00976E54" w:rsidRDefault="00B77BA8">
      <w:pPr>
        <w:spacing w:after="0"/>
        <w:rPr>
          <w:rFonts w:ascii="Arial" w:eastAsia="Arial" w:hAnsi="Arial" w:cs="Arial"/>
          <w:sz w:val="20"/>
          <w:szCs w:val="20"/>
        </w:rPr>
      </w:pPr>
      <w:r>
        <w:rPr>
          <w:rFonts w:ascii="Arial" w:eastAsia="Arial" w:hAnsi="Arial" w:cs="Arial"/>
          <w:sz w:val="20"/>
          <w:szCs w:val="20"/>
        </w:rPr>
        <w:t>B</w:t>
      </w:r>
      <w:r>
        <w:rPr>
          <w:rFonts w:ascii="Arial" w:eastAsia="Arial" w:hAnsi="Arial" w:cs="Arial"/>
          <w:sz w:val="20"/>
          <w:szCs w:val="20"/>
        </w:rPr>
        <w:tab/>
        <w:t>= le nombre de points obtenus par l’offre examinée</w:t>
      </w:r>
    </w:p>
    <w:p w:rsidR="00976E54" w:rsidRDefault="00B77BA8">
      <w:pPr>
        <w:spacing w:after="0"/>
        <w:rPr>
          <w:rFonts w:ascii="Arial" w:eastAsia="Arial" w:hAnsi="Arial" w:cs="Arial"/>
          <w:sz w:val="20"/>
          <w:szCs w:val="20"/>
        </w:rPr>
      </w:pPr>
      <w:r>
        <w:rPr>
          <w:rFonts w:ascii="Arial" w:eastAsia="Arial" w:hAnsi="Arial" w:cs="Arial"/>
          <w:sz w:val="20"/>
          <w:szCs w:val="20"/>
        </w:rPr>
        <w:t>P +bas</w:t>
      </w:r>
      <w:r>
        <w:rPr>
          <w:rFonts w:ascii="Arial" w:eastAsia="Arial" w:hAnsi="Arial" w:cs="Arial"/>
          <w:sz w:val="20"/>
          <w:szCs w:val="20"/>
        </w:rPr>
        <w:tab/>
        <w:t>= le montant de l’offre régulière la moins-</w:t>
      </w:r>
      <w:proofErr w:type="spellStart"/>
      <w:r>
        <w:rPr>
          <w:rFonts w:ascii="Arial" w:eastAsia="Arial" w:hAnsi="Arial" w:cs="Arial"/>
          <w:sz w:val="20"/>
          <w:szCs w:val="20"/>
        </w:rPr>
        <w:t>disante</w:t>
      </w:r>
      <w:proofErr w:type="spellEnd"/>
    </w:p>
    <w:p w:rsidR="00976E54" w:rsidRDefault="00B77BA8">
      <w:pPr>
        <w:spacing w:after="0"/>
        <w:rPr>
          <w:rFonts w:ascii="Arial" w:eastAsia="Arial" w:hAnsi="Arial" w:cs="Arial"/>
          <w:sz w:val="20"/>
          <w:szCs w:val="20"/>
        </w:rPr>
      </w:pPr>
      <w:r>
        <w:rPr>
          <w:rFonts w:ascii="Arial" w:eastAsia="Arial" w:hAnsi="Arial" w:cs="Arial"/>
          <w:sz w:val="20"/>
          <w:szCs w:val="20"/>
        </w:rPr>
        <w:t>P offre</w:t>
      </w:r>
      <w:r>
        <w:rPr>
          <w:rFonts w:ascii="Arial" w:eastAsia="Arial" w:hAnsi="Arial" w:cs="Arial"/>
          <w:sz w:val="20"/>
          <w:szCs w:val="20"/>
        </w:rPr>
        <w:tab/>
        <w:t>= le montant de l’offre examinée</w:t>
      </w:r>
    </w:p>
    <w:p w:rsidR="00976E54" w:rsidRDefault="00B77BA8">
      <w:pPr>
        <w:spacing w:after="0"/>
        <w:rPr>
          <w:rFonts w:ascii="Arial" w:eastAsia="Arial" w:hAnsi="Arial" w:cs="Arial"/>
          <w:sz w:val="20"/>
          <w:szCs w:val="20"/>
        </w:rPr>
      </w:pPr>
      <w:r>
        <w:rPr>
          <w:rFonts w:ascii="Arial" w:eastAsia="Arial" w:hAnsi="Arial" w:cs="Arial"/>
          <w:sz w:val="20"/>
          <w:szCs w:val="20"/>
        </w:rPr>
        <w:t>Z</w:t>
      </w:r>
      <w:r>
        <w:rPr>
          <w:rFonts w:ascii="Arial" w:eastAsia="Arial" w:hAnsi="Arial" w:cs="Arial"/>
          <w:sz w:val="20"/>
          <w:szCs w:val="20"/>
        </w:rPr>
        <w:tab/>
        <w:t>= le nombre de points attribué pour le critère prix.</w:t>
      </w:r>
    </w:p>
    <w:p w:rsidR="00976E54" w:rsidRDefault="00976E54">
      <w:pPr>
        <w:pBdr>
          <w:top w:val="nil"/>
          <w:left w:val="nil"/>
          <w:bottom w:val="nil"/>
          <w:right w:val="nil"/>
          <w:between w:val="nil"/>
        </w:pBdr>
        <w:spacing w:after="0" w:line="240" w:lineRule="auto"/>
        <w:jc w:val="both"/>
        <w:rPr>
          <w:color w:val="000000"/>
          <w:highlight w:val="white"/>
        </w:rPr>
      </w:pPr>
    </w:p>
    <w:p w:rsidR="00976E54" w:rsidRDefault="00B77BA8">
      <w:pPr>
        <w:spacing w:after="0" w:line="240" w:lineRule="auto"/>
        <w:jc w:val="both"/>
        <w:rPr>
          <w:i/>
          <w:color w:val="0070C0"/>
          <w:sz w:val="20"/>
          <w:szCs w:val="20"/>
        </w:rPr>
      </w:pPr>
      <w:r>
        <w:rPr>
          <w:i/>
          <w:color w:val="0070C0"/>
          <w:sz w:val="20"/>
          <w:szCs w:val="20"/>
        </w:rPr>
        <w:t xml:space="preserve">Cette formule avantage l’offre moins </w:t>
      </w:r>
      <w:proofErr w:type="spellStart"/>
      <w:r>
        <w:rPr>
          <w:i/>
          <w:color w:val="0070C0"/>
          <w:sz w:val="20"/>
          <w:szCs w:val="20"/>
        </w:rPr>
        <w:t>disante</w:t>
      </w:r>
      <w:proofErr w:type="spellEnd"/>
      <w:r>
        <w:rPr>
          <w:i/>
          <w:color w:val="0070C0"/>
          <w:sz w:val="20"/>
          <w:szCs w:val="20"/>
        </w:rPr>
        <w:t>. Il est possible de sous pondérer l’analyse financière en fonction de tranches ou entre DPGF et DQE. A INDIQUER AU RC.</w:t>
      </w:r>
      <w:bookmarkStart w:id="1" w:name="_GoBack"/>
      <w:bookmarkEnd w:id="1"/>
    </w:p>
    <w:p w:rsidR="00976E54" w:rsidRDefault="00976E54">
      <w:pPr>
        <w:spacing w:after="0" w:line="240" w:lineRule="auto"/>
        <w:jc w:val="both"/>
        <w:rPr>
          <w:i/>
          <w:color w:val="0070C0"/>
          <w:sz w:val="20"/>
          <w:szCs w:val="20"/>
        </w:rPr>
      </w:pPr>
    </w:p>
    <w:p w:rsidR="00976E54" w:rsidRDefault="00976E54">
      <w:pPr>
        <w:spacing w:after="0" w:line="240" w:lineRule="auto"/>
        <w:jc w:val="both"/>
        <w:rPr>
          <w:i/>
          <w:color w:val="0070C0"/>
          <w:sz w:val="20"/>
          <w:szCs w:val="20"/>
        </w:rPr>
      </w:pPr>
    </w:p>
    <w:p w:rsidR="00976E54" w:rsidRDefault="00B77BA8">
      <w:pPr>
        <w:spacing w:after="0" w:line="240" w:lineRule="auto"/>
        <w:jc w:val="both"/>
        <w:rPr>
          <w:i/>
          <w:color w:val="0070C0"/>
          <w:sz w:val="20"/>
          <w:szCs w:val="20"/>
        </w:rPr>
      </w:pPr>
      <w:r>
        <w:rPr>
          <w:i/>
          <w:color w:val="0070C0"/>
          <w:sz w:val="20"/>
          <w:szCs w:val="20"/>
        </w:rPr>
        <w:t xml:space="preserve">REMARQUE SUR LE CONTRAT : </w:t>
      </w:r>
    </w:p>
    <w:p w:rsidR="00976E54" w:rsidRDefault="00B77BA8">
      <w:pPr>
        <w:numPr>
          <w:ilvl w:val="0"/>
          <w:numId w:val="1"/>
        </w:numPr>
        <w:pBdr>
          <w:top w:val="nil"/>
          <w:left w:val="nil"/>
          <w:bottom w:val="nil"/>
          <w:right w:val="nil"/>
          <w:between w:val="nil"/>
        </w:pBdr>
        <w:spacing w:after="0" w:line="240" w:lineRule="auto"/>
        <w:jc w:val="both"/>
        <w:rPr>
          <w:i/>
          <w:color w:val="0070C0"/>
          <w:sz w:val="20"/>
          <w:szCs w:val="20"/>
        </w:rPr>
      </w:pPr>
      <w:r>
        <w:rPr>
          <w:i/>
          <w:color w:val="0070C0"/>
          <w:sz w:val="20"/>
          <w:szCs w:val="20"/>
        </w:rPr>
        <w:t>Les attestations sociales et fiscales sont obligatoires au stade de l’attribution.</w:t>
      </w:r>
    </w:p>
    <w:p w:rsidR="00976E54" w:rsidRDefault="00B77BA8">
      <w:pPr>
        <w:numPr>
          <w:ilvl w:val="0"/>
          <w:numId w:val="1"/>
        </w:numPr>
        <w:pBdr>
          <w:top w:val="nil"/>
          <w:left w:val="nil"/>
          <w:bottom w:val="nil"/>
          <w:right w:val="nil"/>
          <w:between w:val="nil"/>
        </w:pBdr>
        <w:spacing w:after="0" w:line="240" w:lineRule="auto"/>
        <w:jc w:val="both"/>
        <w:rPr>
          <w:b/>
          <w:color w:val="000000"/>
        </w:rPr>
      </w:pPr>
      <w:r>
        <w:rPr>
          <w:i/>
          <w:color w:val="0070C0"/>
          <w:sz w:val="20"/>
          <w:szCs w:val="20"/>
        </w:rPr>
        <w:t>Le calcul de la perte d’exploitation du RCU servait à fixer le seuil d’assurance requis</w:t>
      </w:r>
    </w:p>
    <w:p w:rsidR="00976E54" w:rsidRDefault="00B77BA8">
      <w:pPr>
        <w:numPr>
          <w:ilvl w:val="0"/>
          <w:numId w:val="1"/>
        </w:numPr>
        <w:pBdr>
          <w:top w:val="nil"/>
          <w:left w:val="nil"/>
          <w:bottom w:val="nil"/>
          <w:right w:val="nil"/>
          <w:between w:val="nil"/>
        </w:pBdr>
        <w:spacing w:after="0" w:line="240" w:lineRule="auto"/>
        <w:jc w:val="both"/>
        <w:rPr>
          <w:b/>
          <w:color w:val="000000"/>
        </w:rPr>
      </w:pPr>
      <w:r>
        <w:rPr>
          <w:i/>
          <w:color w:val="0070C0"/>
          <w:sz w:val="20"/>
          <w:szCs w:val="20"/>
        </w:rPr>
        <w:t xml:space="preserve"> Les pénalités du contrat de concession servaient à fixer montant et le plafond des pénalités pour être logique. </w:t>
      </w:r>
    </w:p>
    <w:sectPr w:rsidR="00976E54">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0D7"/>
    <w:multiLevelType w:val="multilevel"/>
    <w:tmpl w:val="03504B7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1657A7F"/>
    <w:multiLevelType w:val="hybridMultilevel"/>
    <w:tmpl w:val="397214B4"/>
    <w:lvl w:ilvl="0" w:tplc="B4C8F3F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E54"/>
    <w:rsid w:val="00241B35"/>
    <w:rsid w:val="006B5089"/>
    <w:rsid w:val="00976E54"/>
    <w:rsid w:val="009D7892"/>
    <w:rsid w:val="00B77B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72F4E"/>
  <w15:docId w15:val="{7D847D16-76B5-417A-BCAA-EBB2DC8A8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tte">
    <w:name w:val="header"/>
    <w:basedOn w:val="Normal"/>
    <w:link w:val="En-tteCar"/>
    <w:uiPriority w:val="99"/>
    <w:unhideWhenUsed/>
    <w:rsid w:val="00A2115E"/>
    <w:pPr>
      <w:tabs>
        <w:tab w:val="center" w:pos="4536"/>
        <w:tab w:val="right" w:pos="9072"/>
      </w:tabs>
      <w:spacing w:after="0" w:line="240" w:lineRule="auto"/>
    </w:pPr>
  </w:style>
  <w:style w:type="character" w:customStyle="1" w:styleId="En-tteCar">
    <w:name w:val="En-tête Car"/>
    <w:basedOn w:val="Policepardfaut"/>
    <w:link w:val="En-tte"/>
    <w:uiPriority w:val="99"/>
    <w:rsid w:val="00A2115E"/>
  </w:style>
  <w:style w:type="paragraph" w:styleId="Pieddepage">
    <w:name w:val="footer"/>
    <w:basedOn w:val="Normal"/>
    <w:link w:val="PieddepageCar"/>
    <w:uiPriority w:val="99"/>
    <w:unhideWhenUsed/>
    <w:rsid w:val="00A211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2115E"/>
  </w:style>
  <w:style w:type="paragraph" w:styleId="Paragraphedeliste">
    <w:name w:val="List Paragraph"/>
    <w:basedOn w:val="Normal"/>
    <w:qFormat/>
    <w:rsid w:val="005D0FAE"/>
    <w:pPr>
      <w:ind w:left="720"/>
      <w:contextualSpacing/>
    </w:pPr>
  </w:style>
  <w:style w:type="table" w:styleId="Grilledutableau">
    <w:name w:val="Table Grid"/>
    <w:basedOn w:val="TableauNormal"/>
    <w:uiPriority w:val="59"/>
    <w:rsid w:val="005D0FA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35EFD"/>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apple-converted-space">
    <w:name w:val="apple-converted-space"/>
    <w:basedOn w:val="Policepardfaut"/>
    <w:rsid w:val="00EE604D"/>
  </w:style>
  <w:style w:type="paragraph" w:styleId="Textedebulles">
    <w:name w:val="Balloon Text"/>
    <w:basedOn w:val="Normal"/>
    <w:link w:val="TextedebullesCar"/>
    <w:uiPriority w:val="99"/>
    <w:semiHidden/>
    <w:unhideWhenUsed/>
    <w:rsid w:val="00BA29C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A29C3"/>
    <w:rPr>
      <w:rFonts w:ascii="Tahoma" w:hAnsi="Tahoma" w:cs="Tahoma"/>
      <w:sz w:val="16"/>
      <w:szCs w:val="16"/>
    </w:rPr>
  </w:style>
  <w:style w:type="paragraph" w:styleId="Notedebasdepage">
    <w:name w:val="footnote text"/>
    <w:basedOn w:val="Normal"/>
    <w:link w:val="NotedebasdepageCar"/>
    <w:uiPriority w:val="99"/>
    <w:semiHidden/>
    <w:unhideWhenUsed/>
    <w:rsid w:val="00293C9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93C98"/>
    <w:rPr>
      <w:sz w:val="20"/>
      <w:szCs w:val="20"/>
    </w:rPr>
  </w:style>
  <w:style w:type="character" w:styleId="Appelnotedebasdep">
    <w:name w:val="footnote reference"/>
    <w:basedOn w:val="Policepardfaut"/>
    <w:uiPriority w:val="99"/>
    <w:semiHidden/>
    <w:unhideWhenUsed/>
    <w:rsid w:val="00293C98"/>
    <w:rPr>
      <w:vertAlign w:val="superscript"/>
    </w:rPr>
  </w:style>
  <w:style w:type="character" w:styleId="Marquedecommentaire">
    <w:name w:val="annotation reference"/>
    <w:basedOn w:val="Policepardfaut"/>
    <w:uiPriority w:val="99"/>
    <w:semiHidden/>
    <w:unhideWhenUsed/>
    <w:rsid w:val="00A01038"/>
    <w:rPr>
      <w:sz w:val="16"/>
      <w:szCs w:val="16"/>
    </w:rPr>
  </w:style>
  <w:style w:type="paragraph" w:styleId="Commentaire">
    <w:name w:val="annotation text"/>
    <w:basedOn w:val="Normal"/>
    <w:link w:val="CommentaireCar"/>
    <w:uiPriority w:val="99"/>
    <w:unhideWhenUsed/>
    <w:rsid w:val="00A01038"/>
    <w:pPr>
      <w:spacing w:line="240" w:lineRule="auto"/>
    </w:pPr>
    <w:rPr>
      <w:sz w:val="20"/>
      <w:szCs w:val="20"/>
    </w:rPr>
  </w:style>
  <w:style w:type="character" w:customStyle="1" w:styleId="CommentaireCar">
    <w:name w:val="Commentaire Car"/>
    <w:basedOn w:val="Policepardfaut"/>
    <w:link w:val="Commentaire"/>
    <w:uiPriority w:val="99"/>
    <w:rsid w:val="00A01038"/>
    <w:rPr>
      <w:sz w:val="20"/>
      <w:szCs w:val="20"/>
    </w:rPr>
  </w:style>
  <w:style w:type="paragraph" w:styleId="Objetducommentaire">
    <w:name w:val="annotation subject"/>
    <w:basedOn w:val="Commentaire"/>
    <w:next w:val="Commentaire"/>
    <w:link w:val="ObjetducommentaireCar"/>
    <w:uiPriority w:val="99"/>
    <w:semiHidden/>
    <w:unhideWhenUsed/>
    <w:rsid w:val="00A01038"/>
    <w:rPr>
      <w:b/>
      <w:bCs/>
    </w:rPr>
  </w:style>
  <w:style w:type="character" w:customStyle="1" w:styleId="ObjetducommentaireCar">
    <w:name w:val="Objet du commentaire Car"/>
    <w:basedOn w:val="CommentaireCar"/>
    <w:link w:val="Objetducommentaire"/>
    <w:uiPriority w:val="99"/>
    <w:semiHidden/>
    <w:rsid w:val="00A01038"/>
    <w:rPr>
      <w:b/>
      <w:bCs/>
      <w:sz w:val="20"/>
      <w:szCs w:val="20"/>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30" w:type="dxa"/>
        <w:right w:w="30" w:type="dxa"/>
      </w:tblCellMar>
    </w:tblPr>
  </w:style>
  <w:style w:type="table" w:customStyle="1" w:styleId="a1">
    <w:basedOn w:val="TableNormal1"/>
    <w:tblPr>
      <w:tblStyleRowBandSize w:val="1"/>
      <w:tblStyleColBandSize w:val="1"/>
      <w:tblCellMar>
        <w:left w:w="30" w:type="dxa"/>
        <w:right w:w="30"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pPr>
      <w:spacing w:after="0" w:line="240" w:lineRule="auto"/>
    </w:pPr>
    <w:tblPr>
      <w:tblStyleRowBandSize w:val="1"/>
      <w:tblStyleColBandSize w:val="1"/>
      <w:tblCellMar>
        <w:left w:w="115" w:type="dxa"/>
        <w:right w:w="115" w:type="dxa"/>
      </w:tblCellMar>
    </w:tblPr>
  </w:style>
  <w:style w:type="table" w:customStyle="1" w:styleId="a5">
    <w:basedOn w:val="TableNormal1"/>
    <w:pPr>
      <w:spacing w:after="0" w:line="240" w:lineRule="auto"/>
    </w:pPr>
    <w:tblPr>
      <w:tblStyleRowBandSize w:val="1"/>
      <w:tblStyleColBandSize w:val="1"/>
      <w:tblCellMar>
        <w:left w:w="115" w:type="dxa"/>
        <w:right w:w="115" w:type="dxa"/>
      </w:tblCellMar>
    </w:tblPr>
  </w:style>
  <w:style w:type="table" w:customStyle="1" w:styleId="a6">
    <w:basedOn w:val="TableNormal1"/>
    <w:pPr>
      <w:spacing w:after="0" w:line="240" w:lineRule="auto"/>
    </w:pPr>
    <w:tblPr>
      <w:tblStyleRowBandSize w:val="1"/>
      <w:tblStyleColBandSize w:val="1"/>
      <w:tblCellMar>
        <w:left w:w="115" w:type="dxa"/>
        <w:right w:w="115" w:type="dxa"/>
      </w:tblCellMar>
    </w:tblPr>
  </w:style>
  <w:style w:type="table" w:customStyle="1" w:styleId="a7">
    <w:basedOn w:val="TableNormal1"/>
    <w:pPr>
      <w:spacing w:after="0" w:line="240" w:lineRule="auto"/>
    </w:pPr>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7F266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15" w:type="dxa"/>
        <w:right w:w="115"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644417">
      <w:bodyDiv w:val="1"/>
      <w:marLeft w:val="0"/>
      <w:marRight w:val="0"/>
      <w:marTop w:val="0"/>
      <w:marBottom w:val="0"/>
      <w:divBdr>
        <w:top w:val="none" w:sz="0" w:space="0" w:color="auto"/>
        <w:left w:val="none" w:sz="0" w:space="0" w:color="auto"/>
        <w:bottom w:val="none" w:sz="0" w:space="0" w:color="auto"/>
        <w:right w:val="none" w:sz="0" w:space="0" w:color="auto"/>
      </w:divBdr>
    </w:div>
    <w:div w:id="429013180">
      <w:bodyDiv w:val="1"/>
      <w:marLeft w:val="0"/>
      <w:marRight w:val="0"/>
      <w:marTop w:val="0"/>
      <w:marBottom w:val="0"/>
      <w:divBdr>
        <w:top w:val="none" w:sz="0" w:space="0" w:color="auto"/>
        <w:left w:val="none" w:sz="0" w:space="0" w:color="auto"/>
        <w:bottom w:val="none" w:sz="0" w:space="0" w:color="auto"/>
        <w:right w:val="none" w:sz="0" w:space="0" w:color="auto"/>
      </w:divBdr>
    </w:div>
    <w:div w:id="748890725">
      <w:bodyDiv w:val="1"/>
      <w:marLeft w:val="0"/>
      <w:marRight w:val="0"/>
      <w:marTop w:val="0"/>
      <w:marBottom w:val="0"/>
      <w:divBdr>
        <w:top w:val="none" w:sz="0" w:space="0" w:color="auto"/>
        <w:left w:val="none" w:sz="0" w:space="0" w:color="auto"/>
        <w:bottom w:val="none" w:sz="0" w:space="0" w:color="auto"/>
        <w:right w:val="none" w:sz="0" w:space="0" w:color="auto"/>
      </w:divBdr>
    </w:div>
    <w:div w:id="1275283515">
      <w:bodyDiv w:val="1"/>
      <w:marLeft w:val="0"/>
      <w:marRight w:val="0"/>
      <w:marTop w:val="0"/>
      <w:marBottom w:val="0"/>
      <w:divBdr>
        <w:top w:val="none" w:sz="0" w:space="0" w:color="auto"/>
        <w:left w:val="none" w:sz="0" w:space="0" w:color="auto"/>
        <w:bottom w:val="none" w:sz="0" w:space="0" w:color="auto"/>
        <w:right w:val="none" w:sz="0" w:space="0" w:color="auto"/>
      </w:divBdr>
    </w:div>
    <w:div w:id="20520670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v53dpnrarSDUqfjoYpv4d4pZw==">AMUW2mX5jFnBZRR+wgKPFWnStA5/pAmXVtlbJwnjSTu9IG7VFV84kn7HXq3QFbpE4OwCukX3Wlbf7H/o67mMqk5dfnO+qp36j1JhoTHBvwFSQPvnI8OikE4UGsD4CcGIrOJ2ZP/CJno3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1580</Words>
  <Characters>8694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DALKIA France</Company>
  <LinksUpToDate>false</LinksUpToDate>
  <CharactersWithSpaces>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PARISSEAUX Anne Sophie</dc:creator>
  <cp:lastModifiedBy>CORBLIN Thomas</cp:lastModifiedBy>
  <cp:revision>2</cp:revision>
  <dcterms:created xsi:type="dcterms:W3CDTF">2023-09-12T10:09:00Z</dcterms:created>
  <dcterms:modified xsi:type="dcterms:W3CDTF">2023-09-12T10:09:00Z</dcterms:modified>
</cp:coreProperties>
</file>