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524CA" w14:textId="6C212374" w:rsidR="000769ED" w:rsidRDefault="00664F75" w:rsidP="002A3AE2">
      <w:pPr>
        <w:tabs>
          <w:tab w:val="center" w:pos="4536"/>
        </w:tabs>
        <w:jc w:val="center"/>
        <w:rPr>
          <w:rFonts w:cs="Times New Roman"/>
          <w:b/>
        </w:rPr>
      </w:pPr>
      <w:r>
        <w:rPr>
          <w:noProof/>
        </w:rPr>
        <mc:AlternateContent>
          <mc:Choice Requires="wps">
            <w:drawing>
              <wp:anchor distT="0" distB="0" distL="114300" distR="114300" simplePos="0" relativeHeight="251656192" behindDoc="1" locked="0" layoutInCell="1" allowOverlap="1" wp14:anchorId="0C767BB0" wp14:editId="6D97A3E2">
                <wp:simplePos x="0" y="0"/>
                <wp:positionH relativeFrom="margin">
                  <wp:posOffset>1252855</wp:posOffset>
                </wp:positionH>
                <wp:positionV relativeFrom="paragraph">
                  <wp:posOffset>-137795</wp:posOffset>
                </wp:positionV>
                <wp:extent cx="3771900" cy="542925"/>
                <wp:effectExtent l="0" t="0" r="0" b="95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1900" cy="542925"/>
                        </a:xfrm>
                        <a:prstGeom prst="roundRect">
                          <a:avLst/>
                        </a:prstGeom>
                        <a:gradFill flip="none" rotWithShape="1">
                          <a:gsLst>
                            <a:gs pos="6000">
                              <a:schemeClr val="accent6">
                                <a:lumMod val="20000"/>
                                <a:lumOff val="80000"/>
                                <a:shade val="30000"/>
                                <a:satMod val="115000"/>
                              </a:schemeClr>
                            </a:gs>
                            <a:gs pos="48000">
                              <a:schemeClr val="accent6">
                                <a:lumMod val="20000"/>
                                <a:lumOff val="80000"/>
                              </a:schemeClr>
                            </a:gs>
                            <a:gs pos="100000">
                              <a:schemeClr val="accent6">
                                <a:lumMod val="20000"/>
                                <a:lumOff val="80000"/>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2254B79" id="Rectangle à coins arrondis 1" o:spid="_x0000_s1026" style="position:absolute;margin-left:98.65pt;margin-top:-10.85pt;width:297pt;height: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" fillcolor="#e2efd9 [665]" strokecolor="#1f4d78 [1604]" strokeweight="1pt">
                <v:fill color2="#e2efd9 [665]" rotate="t" colors="0 #838d7d;3932f #838d7d;31457f #e2f0d9" focus="100%" type="gradient"/>
                <v:stroke joinstyle="miter"/>
                <v:path arrowok="t"/>
                <w10:wrap anchorx="margin"/>
              </v:roundrect>
            </w:pict>
          </mc:Fallback>
        </mc:AlternateContent>
      </w:r>
      <w:r>
        <w:rPr>
          <w:noProof/>
        </w:rPr>
        <w:drawing>
          <wp:anchor distT="0" distB="0" distL="114300" distR="114300" simplePos="0" relativeHeight="251658240" behindDoc="1" locked="0" layoutInCell="1" allowOverlap="1" wp14:anchorId="3873CF74" wp14:editId="4DEA57AD">
            <wp:simplePos x="0" y="0"/>
            <wp:positionH relativeFrom="column">
              <wp:posOffset>-233045</wp:posOffset>
            </wp:positionH>
            <wp:positionV relativeFrom="paragraph">
              <wp:posOffset>-366395</wp:posOffset>
            </wp:positionV>
            <wp:extent cx="1123950" cy="1127760"/>
            <wp:effectExtent l="0" t="0" r="0"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AE2" w:rsidRPr="002A3AE2">
        <w:rPr>
          <w:rFonts w:ascii="Arial" w:hAnsi="Arial" w:cs="Arial"/>
          <w:b/>
          <w:sz w:val="30"/>
          <w:szCs w:val="30"/>
        </w:rPr>
        <w:t>Publicité</w:t>
      </w:r>
    </w:p>
    <w:p w14:paraId="5111426F" w14:textId="77777777" w:rsidR="00347E23" w:rsidRDefault="00347E23" w:rsidP="000769ED">
      <w:pPr>
        <w:jc w:val="right"/>
        <w:rPr>
          <w:rFonts w:cs="Times New Roman"/>
        </w:rPr>
      </w:pPr>
    </w:p>
    <w:p w14:paraId="1E2E7498" w14:textId="77777777" w:rsidR="000769ED" w:rsidRDefault="000769ED" w:rsidP="000769ED">
      <w:pPr>
        <w:jc w:val="right"/>
        <w:rPr>
          <w:rFonts w:cs="Times New Roman"/>
        </w:rPr>
      </w:pPr>
    </w:p>
    <w:p w14:paraId="774EB4D9" w14:textId="72AC2561"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Pouvoir adjudicateur</w:t>
      </w:r>
      <w:r>
        <w:rPr>
          <w:rFonts w:ascii="Verdana" w:hAnsi="Verdana" w:cs="Times New Roman"/>
          <w:sz w:val="20"/>
          <w:szCs w:val="24"/>
        </w:rPr>
        <w:t xml:space="preserve"> :</w:t>
      </w:r>
    </w:p>
    <w:p w14:paraId="5122F8CB" w14:textId="77777777" w:rsidR="009E341C" w:rsidRDefault="009E341C">
      <w:pPr>
        <w:autoSpaceDE w:val="0"/>
        <w:autoSpaceDN w:val="0"/>
        <w:adjustRightInd w:val="0"/>
        <w:spacing w:after="0" w:line="240" w:lineRule="auto"/>
        <w:jc w:val="both"/>
        <w:rPr>
          <w:rFonts w:ascii="Verdana" w:hAnsi="Verdana" w:cs="Times New Roman"/>
          <w:sz w:val="20"/>
          <w:szCs w:val="24"/>
        </w:rPr>
      </w:pPr>
    </w:p>
    <w:p w14:paraId="217CEF1B"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Désignation :</w:t>
      </w:r>
    </w:p>
    <w:p w14:paraId="50EDA577" w14:textId="137A29A9"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Epic </w:t>
      </w:r>
      <w:r w:rsidR="0051626B">
        <w:rPr>
          <w:rFonts w:ascii="Verdana" w:hAnsi="Verdana" w:cs="Times New Roman"/>
          <w:sz w:val="20"/>
          <w:szCs w:val="24"/>
        </w:rPr>
        <w:t xml:space="preserve">Camping </w:t>
      </w:r>
      <w:r>
        <w:rPr>
          <w:rFonts w:ascii="Verdana" w:hAnsi="Verdana" w:cs="Times New Roman"/>
          <w:sz w:val="20"/>
          <w:szCs w:val="24"/>
        </w:rPr>
        <w:t>Office du Tourisme</w:t>
      </w:r>
    </w:p>
    <w:p w14:paraId="26415E94" w14:textId="77777777" w:rsidR="00421EF9" w:rsidRDefault="00421EF9" w:rsidP="00421EF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Camping Le Bosc d'en Roug</w:t>
      </w:r>
    </w:p>
    <w:p w14:paraId="34D61C5F" w14:textId="77777777" w:rsidR="00421EF9" w:rsidRDefault="00421EF9" w:rsidP="00421EF9">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230 chem d'Al Roure</w:t>
      </w:r>
    </w:p>
    <w:p w14:paraId="1D3D3134" w14:textId="67DE9C70"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4F9552EF"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Téléphone : 0468210133</w:t>
      </w:r>
    </w:p>
    <w:p w14:paraId="2E9B79C2"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0468219833</w:t>
      </w:r>
    </w:p>
    <w:p w14:paraId="1D9AE6A3"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http://www.tourisme-saint-cyprien.com</w:t>
      </w:r>
    </w:p>
    <w:p w14:paraId="5A8EC8EA"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E-Mail : christophe.vidal@stcyprien.fr</w:t>
      </w:r>
    </w:p>
    <w:p w14:paraId="32BEA0B6"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Statut : 22</w:t>
      </w:r>
    </w:p>
    <w:p w14:paraId="727562DF" w14:textId="77777777" w:rsidR="009E341C" w:rsidRDefault="009E341C">
      <w:pPr>
        <w:autoSpaceDE w:val="0"/>
        <w:autoSpaceDN w:val="0"/>
        <w:adjustRightInd w:val="0"/>
        <w:spacing w:after="0" w:line="240" w:lineRule="auto"/>
        <w:jc w:val="both"/>
        <w:rPr>
          <w:rFonts w:ascii="Verdana" w:hAnsi="Verdana" w:cs="Times New Roman"/>
          <w:sz w:val="20"/>
          <w:szCs w:val="24"/>
        </w:rPr>
      </w:pPr>
    </w:p>
    <w:p w14:paraId="56282894" w14:textId="45AF55A5" w:rsidR="004006D0" w:rsidRPr="009E341C" w:rsidRDefault="00664F75">
      <w:pPr>
        <w:autoSpaceDE w:val="0"/>
        <w:autoSpaceDN w:val="0"/>
        <w:adjustRightInd w:val="0"/>
        <w:spacing w:after="0" w:line="240" w:lineRule="auto"/>
        <w:jc w:val="both"/>
        <w:rPr>
          <w:rFonts w:ascii="Verdana" w:hAnsi="Verdana" w:cs="Times New Roman"/>
          <w:b/>
          <w:sz w:val="20"/>
          <w:szCs w:val="24"/>
        </w:rPr>
      </w:pPr>
      <w:r w:rsidRPr="009E341C">
        <w:rPr>
          <w:rFonts w:ascii="Verdana" w:hAnsi="Verdana" w:cs="Times New Roman"/>
          <w:b/>
          <w:sz w:val="20"/>
          <w:szCs w:val="24"/>
        </w:rPr>
        <w:t xml:space="preserve">Activité(s) principale(s) : </w:t>
      </w:r>
    </w:p>
    <w:p w14:paraId="5DA99406" w14:textId="77777777" w:rsidR="004006D0" w:rsidRDefault="00664F75" w:rsidP="00664F75">
      <w:pPr>
        <w:numPr>
          <w:ilvl w:val="0"/>
          <w:numId w:val="1"/>
        </w:numPr>
        <w:autoSpaceDE w:val="0"/>
        <w:autoSpaceDN w:val="0"/>
        <w:adjustRightInd w:val="0"/>
        <w:spacing w:before="100" w:after="0" w:line="240" w:lineRule="auto"/>
        <w:ind w:left="580" w:hanging="250"/>
        <w:rPr>
          <w:rFonts w:ascii="Verdana" w:hAnsi="Verdana" w:cs="Times New Roman"/>
          <w:sz w:val="20"/>
          <w:szCs w:val="24"/>
        </w:rPr>
      </w:pPr>
      <w:r>
        <w:rPr>
          <w:rFonts w:ascii="Verdana" w:hAnsi="Verdana" w:cs="Times New Roman"/>
          <w:sz w:val="20"/>
          <w:szCs w:val="24"/>
        </w:rPr>
        <w:t>Services généraux des administrations publiques</w:t>
      </w:r>
    </w:p>
    <w:p w14:paraId="4DA0975A" w14:textId="77777777" w:rsidR="004006D0" w:rsidRDefault="00664F75" w:rsidP="00664F75">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Affaires économiques et financières</w:t>
      </w:r>
    </w:p>
    <w:p w14:paraId="24DB2420" w14:textId="77777777" w:rsidR="004006D0" w:rsidRDefault="00664F75" w:rsidP="00664F75">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Loisirs, culture et religion</w:t>
      </w:r>
    </w:p>
    <w:p w14:paraId="7EF0EE60" w14:textId="77777777" w:rsidR="009E341C" w:rsidRDefault="009E341C">
      <w:pPr>
        <w:autoSpaceDE w:val="0"/>
        <w:autoSpaceDN w:val="0"/>
        <w:adjustRightInd w:val="0"/>
        <w:spacing w:after="0" w:line="240" w:lineRule="auto"/>
        <w:jc w:val="both"/>
        <w:rPr>
          <w:rFonts w:ascii="Verdana" w:hAnsi="Verdana" w:cs="Times New Roman"/>
          <w:sz w:val="20"/>
          <w:szCs w:val="24"/>
        </w:rPr>
      </w:pPr>
    </w:p>
    <w:p w14:paraId="06059D98" w14:textId="2170C98D"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pouvoir adjudicateur n'agit pas pour le compte d'autres pouvoirs adjudicateurs.</w:t>
      </w:r>
    </w:p>
    <w:p w14:paraId="43D0B02F" w14:textId="77777777" w:rsidR="009E341C" w:rsidRDefault="009E341C">
      <w:pPr>
        <w:autoSpaceDE w:val="0"/>
        <w:autoSpaceDN w:val="0"/>
        <w:adjustRightInd w:val="0"/>
        <w:spacing w:after="0" w:line="240" w:lineRule="auto"/>
        <w:jc w:val="both"/>
        <w:rPr>
          <w:rFonts w:ascii="Verdana" w:hAnsi="Verdana" w:cs="Times New Roman"/>
          <w:b/>
          <w:sz w:val="20"/>
          <w:szCs w:val="24"/>
        </w:rPr>
      </w:pPr>
    </w:p>
    <w:p w14:paraId="207B8C04" w14:textId="77A9AFF8"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Profil d'acheteur : </w:t>
      </w:r>
      <w:r>
        <w:rPr>
          <w:rFonts w:ascii="Verdana" w:hAnsi="Verdana" w:cs="Times New Roman"/>
          <w:sz w:val="20"/>
          <w:szCs w:val="24"/>
        </w:rPr>
        <w:t>https://www.marches-securises.fr</w:t>
      </w:r>
    </w:p>
    <w:p w14:paraId="135F4780"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4946A495"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Adresse auprès de laquelle des informations complémentaires peuvent être obtenus : </w:t>
      </w:r>
      <w:r>
        <w:rPr>
          <w:rFonts w:ascii="Verdana" w:hAnsi="Verdana" w:cs="Times New Roman"/>
          <w:sz w:val="20"/>
          <w:szCs w:val="24"/>
        </w:rPr>
        <w:t xml:space="preserve"> </w:t>
      </w:r>
    </w:p>
    <w:p w14:paraId="41AFFE07" w14:textId="49162C3E" w:rsidR="009E341C" w:rsidRDefault="009E341C" w:rsidP="009E341C">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 Stéphane POISSON</w:t>
      </w:r>
    </w:p>
    <w:p w14:paraId="17B11D40" w14:textId="77777777" w:rsidR="009E341C" w:rsidRDefault="009E341C" w:rsidP="009E341C">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Directeur</w:t>
      </w:r>
    </w:p>
    <w:p w14:paraId="00BBD767" w14:textId="77777777" w:rsidR="009E341C" w:rsidRDefault="009E341C" w:rsidP="009E341C">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Camping Le Bosc d'en Roug</w:t>
      </w:r>
    </w:p>
    <w:p w14:paraId="414331E8" w14:textId="77777777" w:rsidR="009E341C" w:rsidRDefault="009E341C" w:rsidP="009E341C">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230 chem d'Al Roure</w:t>
      </w:r>
    </w:p>
    <w:p w14:paraId="49DE608E" w14:textId="77777777" w:rsidR="009E341C" w:rsidRDefault="009E341C" w:rsidP="009E341C">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732B13A1" w14:textId="77777777" w:rsidR="009E341C" w:rsidRDefault="009E341C" w:rsidP="009E341C">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 04.68.21.07.95.</w:t>
      </w:r>
    </w:p>
    <w:p w14:paraId="569D04D8" w14:textId="77777777" w:rsidR="009E341C" w:rsidRDefault="009E341C" w:rsidP="009E341C">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 s.poisson@campinglebosc.fr</w:t>
      </w:r>
    </w:p>
    <w:p w14:paraId="60CFA7F6" w14:textId="77777777" w:rsidR="009E341C" w:rsidRDefault="009E341C" w:rsidP="009E341C">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 http://www.camping-saint-cyprien.com/</w:t>
      </w:r>
    </w:p>
    <w:p w14:paraId="3DBE9B69"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0881E37A"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L'avis concerne un marché.</w:t>
      </w:r>
    </w:p>
    <w:p w14:paraId="7A006AED"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7D12FB5B"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5C41DC99"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Objet du marché</w:t>
      </w:r>
      <w:r>
        <w:rPr>
          <w:rFonts w:ascii="Verdana" w:hAnsi="Verdana" w:cs="Times New Roman"/>
          <w:sz w:val="20"/>
          <w:szCs w:val="24"/>
        </w:rPr>
        <w:t xml:space="preserve"> :</w:t>
      </w:r>
    </w:p>
    <w:p w14:paraId="65B8D43D" w14:textId="1C5EED3D"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Fourniture et pose de 10 mobile-homes pour le Camping municipal de saint-Cyprien - </w:t>
      </w:r>
    </w:p>
    <w:p w14:paraId="7EB30F42"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358A5599"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Marché couvert par l'accord sur les marchés publics (AMP) :non</w:t>
      </w:r>
    </w:p>
    <w:p w14:paraId="1702995D"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59C242E6"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Forme du marché : Marché(s) ordinaire(s)</w:t>
      </w:r>
    </w:p>
    <w:p w14:paraId="0C8D61A7"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26E7ECF5" w14:textId="740F2E71"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Type de marché de fournitures</w:t>
      </w:r>
      <w:r w:rsidR="009E341C">
        <w:rPr>
          <w:rFonts w:ascii="Verdana" w:hAnsi="Verdana" w:cs="Times New Roman"/>
          <w:sz w:val="20"/>
          <w:szCs w:val="24"/>
        </w:rPr>
        <w:t xml:space="preserve"> : Achat</w:t>
      </w:r>
    </w:p>
    <w:p w14:paraId="6250C2EA" w14:textId="77777777" w:rsidR="009E341C" w:rsidRDefault="009E341C">
      <w:pPr>
        <w:autoSpaceDE w:val="0"/>
        <w:autoSpaceDN w:val="0"/>
        <w:adjustRightInd w:val="0"/>
        <w:spacing w:after="0" w:line="240" w:lineRule="auto"/>
        <w:jc w:val="both"/>
        <w:rPr>
          <w:rFonts w:ascii="Verdana" w:hAnsi="Verdana" w:cs="Times New Roman"/>
          <w:b/>
          <w:sz w:val="20"/>
          <w:szCs w:val="24"/>
        </w:rPr>
      </w:pPr>
    </w:p>
    <w:p w14:paraId="2A7A29B4" w14:textId="00C00A1E"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Lieu principal de livraison :</w:t>
      </w:r>
      <w:r>
        <w:rPr>
          <w:rFonts w:ascii="Verdana" w:hAnsi="Verdana" w:cs="Times New Roman"/>
          <w:sz w:val="20"/>
          <w:szCs w:val="24"/>
        </w:rPr>
        <w:t xml:space="preserve"> </w:t>
      </w:r>
    </w:p>
    <w:p w14:paraId="2B9EA8CC"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Camping Municipal</w:t>
      </w:r>
    </w:p>
    <w:p w14:paraId="00BE5BC0"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Bosc d'en Roug</w:t>
      </w:r>
    </w:p>
    <w:p w14:paraId="21D28CB9"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RD 40</w:t>
      </w:r>
    </w:p>
    <w:p w14:paraId="256D62FC"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230 chem d'Al Roure</w:t>
      </w:r>
    </w:p>
    <w:p w14:paraId="707B315A"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66750 SAINT-CYPRIEN</w:t>
      </w:r>
    </w:p>
    <w:p w14:paraId="41213D0C" w14:textId="2B7FDA5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Code NUTS : FRJ15</w:t>
      </w:r>
    </w:p>
    <w:p w14:paraId="62E80D5A" w14:textId="77777777" w:rsidR="00BD1927" w:rsidRDefault="00BD1927">
      <w:pPr>
        <w:autoSpaceDE w:val="0"/>
        <w:autoSpaceDN w:val="0"/>
        <w:adjustRightInd w:val="0"/>
        <w:spacing w:after="0" w:line="240" w:lineRule="auto"/>
        <w:jc w:val="both"/>
        <w:rPr>
          <w:rFonts w:ascii="Verdana" w:hAnsi="Verdana" w:cs="Times New Roman"/>
          <w:sz w:val="20"/>
          <w:szCs w:val="24"/>
        </w:rPr>
      </w:pPr>
    </w:p>
    <w:p w14:paraId="0FA4D744"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global à la consultation</w:t>
      </w:r>
      <w:r>
        <w:rPr>
          <w:rFonts w:ascii="Verdana" w:hAnsi="Verdana" w:cs="Times New Roman"/>
          <w:sz w:val="20"/>
          <w:szCs w:val="24"/>
        </w:rPr>
        <w:t xml:space="preserve"> </w:t>
      </w:r>
    </w:p>
    <w:p w14:paraId="7F920FB0" w14:textId="77777777" w:rsidR="009E341C" w:rsidRDefault="009E341C">
      <w:pPr>
        <w:autoSpaceDE w:val="0"/>
        <w:autoSpaceDN w:val="0"/>
        <w:adjustRightInd w:val="0"/>
        <w:spacing w:after="0" w:line="240" w:lineRule="auto"/>
        <w:jc w:val="both"/>
        <w:rPr>
          <w:rFonts w:ascii="Verdana" w:hAnsi="Verdana" w:cs="Times New Roman"/>
          <w:b/>
          <w:sz w:val="20"/>
          <w:szCs w:val="24"/>
        </w:rPr>
      </w:pPr>
    </w:p>
    <w:p w14:paraId="41E30DCA" w14:textId="66A49C93"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CPV principal :</w:t>
      </w:r>
      <w:r>
        <w:rPr>
          <w:rFonts w:ascii="Verdana" w:hAnsi="Verdana" w:cs="Times New Roman"/>
          <w:sz w:val="20"/>
          <w:szCs w:val="24"/>
        </w:rPr>
        <w:t xml:space="preserve"> </w:t>
      </w:r>
      <w:r w:rsidR="00E172C4" w:rsidRPr="00E172C4">
        <w:rPr>
          <w:rFonts w:ascii="Verdana" w:hAnsi="Verdana" w:cs="Times New Roman"/>
          <w:sz w:val="20"/>
          <w:szCs w:val="24"/>
        </w:rPr>
        <w:t>44211100</w:t>
      </w:r>
    </w:p>
    <w:p w14:paraId="3E94E02A"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706886AB"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prestations sont traitées à prix unitaires.</w:t>
      </w:r>
    </w:p>
    <w:p w14:paraId="75033F09"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18963249"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montant global estimé du marché est de 350 000.00 euros HT</w:t>
      </w:r>
    </w:p>
    <w:p w14:paraId="0AF01BC8" w14:textId="77777777" w:rsidR="009E341C" w:rsidRDefault="009E341C">
      <w:pPr>
        <w:autoSpaceDE w:val="0"/>
        <w:autoSpaceDN w:val="0"/>
        <w:adjustRightInd w:val="0"/>
        <w:spacing w:after="0" w:line="240" w:lineRule="auto"/>
        <w:jc w:val="both"/>
        <w:rPr>
          <w:rFonts w:ascii="Verdana" w:hAnsi="Verdana" w:cs="Times New Roman"/>
          <w:sz w:val="20"/>
          <w:szCs w:val="24"/>
        </w:rPr>
      </w:pPr>
    </w:p>
    <w:p w14:paraId="5513D14B" w14:textId="0575955F"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Dévolution en marché unique.</w:t>
      </w:r>
    </w:p>
    <w:p w14:paraId="7450FB9E"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46CA4294"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variantes exigées et les variantes ne sont pas autorisées.</w:t>
      </w:r>
    </w:p>
    <w:p w14:paraId="5868F8FD"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4E24D7DA"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marché a une durée prévisionnelle de 5 mois.</w:t>
      </w:r>
    </w:p>
    <w:p w14:paraId="34F4544F"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1C533BE2"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prévu de retenue de garantie.</w:t>
      </w:r>
    </w:p>
    <w:p w14:paraId="402D1722"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1CDD3883" w14:textId="508C1802"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L'avance obligatoire est possible. A minima, son montant est égal à 5 % du montant du marché.</w:t>
      </w:r>
    </w:p>
    <w:p w14:paraId="2981DECB" w14:textId="77777777" w:rsidR="009E341C" w:rsidRDefault="009E341C">
      <w:pPr>
        <w:autoSpaceDE w:val="0"/>
        <w:autoSpaceDN w:val="0"/>
        <w:adjustRightInd w:val="0"/>
        <w:spacing w:after="0" w:line="240" w:lineRule="auto"/>
        <w:jc w:val="both"/>
        <w:rPr>
          <w:rFonts w:ascii="Verdana" w:hAnsi="Verdana" w:cs="Times New Roman"/>
          <w:sz w:val="20"/>
          <w:szCs w:val="24"/>
        </w:rPr>
      </w:pPr>
    </w:p>
    <w:p w14:paraId="6DCDC62A"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n'est pas exigé de garantie pour le remboursement de l'avance.</w:t>
      </w:r>
    </w:p>
    <w:p w14:paraId="0A382B87"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27EA8DAC"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Interdiction de soumissionner</w:t>
      </w:r>
      <w:r>
        <w:rPr>
          <w:rFonts w:ascii="Verdana" w:hAnsi="Verdana" w:cs="Times New Roman"/>
          <w:sz w:val="20"/>
          <w:szCs w:val="24"/>
        </w:rPr>
        <w:t xml:space="preserve"> </w:t>
      </w:r>
    </w:p>
    <w:p w14:paraId="6C49B8BA" w14:textId="7BF5D600"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en vertu des articles L2141-7 à L2141-11 du code de la commande publique, peut exclure les candidatures se trouvant dans les situations qui y sont décrites, en particulier dans les cas qui suivent, sous réserve que dans un délai de 2 jours à compter de la réception d'un courrier l'y invitant, le candidat démontre qu'il a pris les mesures nécessaires pour corriger les manquements qui lui sont reprochés et, le cas échéant, que sa participation à la procédure de passation du marché public n'est pas susceptible de porter atteinte à l'égalité de traitement.</w:t>
      </w:r>
    </w:p>
    <w:p w14:paraId="211FCB64" w14:textId="77777777" w:rsidR="009E341C" w:rsidRDefault="009E341C">
      <w:pPr>
        <w:autoSpaceDE w:val="0"/>
        <w:autoSpaceDN w:val="0"/>
        <w:adjustRightInd w:val="0"/>
        <w:spacing w:after="0" w:line="240" w:lineRule="auto"/>
        <w:jc w:val="both"/>
        <w:rPr>
          <w:rFonts w:ascii="Verdana" w:hAnsi="Verdana" w:cs="Times New Roman"/>
          <w:sz w:val="20"/>
          <w:szCs w:val="24"/>
        </w:rPr>
      </w:pPr>
    </w:p>
    <w:p w14:paraId="6340AF14"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au cours des trois années précédentes, ont dû verser des dommages et intérêts, ont été sanctionnées par une résiliation ou ont fait l'objet d'une sanction comparable du fait d'un manquement grave ou persistant à leurs obligations contractuelles lors de l'exécution d'un marché public antérieur.</w:t>
      </w:r>
    </w:p>
    <w:p w14:paraId="438987AE"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participation préalable directe ou indirecte à la préparation de la procédure de passation du marché public, ont eu accès à des informations susceptibles de créer une distorsion de concurrence par rapport aux autres candidats, lorsqu'il ne peut être remédié à cette situation par d'autres moyens.</w:t>
      </w:r>
    </w:p>
    <w:p w14:paraId="0E26E9E4"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exclut les personnes qui, par leur candidature, créent une situation de conflit d'intérêts, lorsqu'il ne peut y être remédié par d'autres moyens. Constitue une situation de conflit d'intérêts toute situation dans laquelle une personne qui participe au déroulement de la procédure de passation du marché public ou est susceptible d'en influencer l'issue a, directement ou indirectement, un intérêt financier, économique ou tout autre intérêt personnel qui pourrait compromettre son impartialité ou son indépendance dans le cadre de la procédure de passation du marché public.</w:t>
      </w:r>
    </w:p>
    <w:p w14:paraId="05E794D7"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2045BABF"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Présentation de candidature :</w:t>
      </w:r>
      <w:r>
        <w:rPr>
          <w:rFonts w:ascii="Verdana" w:hAnsi="Verdana" w:cs="Times New Roman"/>
          <w:sz w:val="20"/>
          <w:szCs w:val="24"/>
        </w:rPr>
        <w:t xml:space="preserve"> </w:t>
      </w:r>
    </w:p>
    <w:p w14:paraId="2E1A0588" w14:textId="386678F6"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Dépôt classique: La candidature peut être faite au moyen des formulaires DC1 et DC2 (formulaires à jour sur le site http://www.economie.gouv.fr/daj/formulaires-declaration-du-candidat) ou du DUME (document unique de marché européen, voir site :https://dume.chorus-pro.gouv.fr/).</w:t>
      </w:r>
    </w:p>
    <w:p w14:paraId="4E3B3CC6" w14:textId="77777777" w:rsidR="009E341C" w:rsidRDefault="009E341C">
      <w:pPr>
        <w:autoSpaceDE w:val="0"/>
        <w:autoSpaceDN w:val="0"/>
        <w:adjustRightInd w:val="0"/>
        <w:spacing w:after="0" w:line="240" w:lineRule="auto"/>
        <w:jc w:val="both"/>
        <w:rPr>
          <w:rFonts w:ascii="Verdana" w:hAnsi="Verdana" w:cs="Times New Roman"/>
          <w:sz w:val="20"/>
          <w:szCs w:val="24"/>
        </w:rPr>
      </w:pPr>
    </w:p>
    <w:p w14:paraId="37530B92"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Conditions de participation et moyens de preuve acceptables :</w:t>
      </w:r>
      <w:r>
        <w:rPr>
          <w:rFonts w:ascii="Verdana" w:hAnsi="Verdana" w:cs="Times New Roman"/>
          <w:sz w:val="20"/>
          <w:szCs w:val="24"/>
        </w:rPr>
        <w:t xml:space="preserve"> </w:t>
      </w:r>
    </w:p>
    <w:p w14:paraId="07EFBFBA" w14:textId="519755BD"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lastRenderedPageBreak/>
        <w:t xml:space="preserve">Les documents et renseignements demandés par l'acheteur aux fins de vérification de l'aptitude à exercer l'activité professionnelle, de la capacité économique et financière et des capacités techniques et professionnelles du candidat sont: </w:t>
      </w:r>
    </w:p>
    <w:p w14:paraId="35C11D63" w14:textId="4AB7B27D" w:rsidR="009E341C" w:rsidRDefault="009E341C">
      <w:pPr>
        <w:autoSpaceDE w:val="0"/>
        <w:autoSpaceDN w:val="0"/>
        <w:adjustRightInd w:val="0"/>
        <w:spacing w:after="0" w:line="240" w:lineRule="auto"/>
        <w:jc w:val="both"/>
        <w:rPr>
          <w:rFonts w:ascii="Verdana" w:hAnsi="Verdana" w:cs="Times New Roman"/>
          <w:sz w:val="20"/>
          <w:szCs w:val="24"/>
        </w:rPr>
      </w:pPr>
    </w:p>
    <w:p w14:paraId="3E0D9F76" w14:textId="77777777" w:rsidR="009E341C" w:rsidRDefault="009E341C" w:rsidP="009E341C">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Aptitude :</w:t>
      </w:r>
      <w:r>
        <w:rPr>
          <w:rFonts w:ascii="Verdana" w:hAnsi="Verdana" w:cs="Times New Roman"/>
          <w:sz w:val="20"/>
          <w:szCs w:val="24"/>
        </w:rPr>
        <w:t xml:space="preserve"> </w:t>
      </w:r>
    </w:p>
    <w:p w14:paraId="2BAB5260" w14:textId="77777777" w:rsidR="009E341C" w:rsidRDefault="009E341C" w:rsidP="009E341C">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L'opérateur économique doit être inscrit sur un registre professionnel ou sur un registre du commerce suivant : Registre du commerce et des sociétés ou répertoire des métiers ou équivalent européen.</w:t>
      </w:r>
    </w:p>
    <w:p w14:paraId="139AF453" w14:textId="77777777" w:rsidR="004006D0" w:rsidRDefault="00664F75">
      <w:pPr>
        <w:autoSpaceDE w:val="0"/>
        <w:autoSpaceDN w:val="0"/>
        <w:adjustRightInd w:val="0"/>
        <w:spacing w:before="100" w:after="100" w:line="240" w:lineRule="auto"/>
        <w:ind w:left="580"/>
        <w:rPr>
          <w:rFonts w:ascii="Verdana" w:hAnsi="Verdana" w:cs="Times New Roman"/>
          <w:sz w:val="20"/>
          <w:szCs w:val="24"/>
        </w:rPr>
      </w:pPr>
      <w:r>
        <w:rPr>
          <w:rFonts w:ascii="Verdana" w:hAnsi="Verdana" w:cs="Times New Roman"/>
          <w:b/>
          <w:sz w:val="20"/>
          <w:szCs w:val="24"/>
        </w:rPr>
        <w:t>Capacité économique et financière :</w:t>
      </w:r>
      <w:r>
        <w:rPr>
          <w:rFonts w:ascii="Verdana" w:hAnsi="Verdana" w:cs="Times New Roman"/>
          <w:sz w:val="20"/>
          <w:szCs w:val="24"/>
        </w:rPr>
        <w:t xml:space="preserve"> </w:t>
      </w:r>
    </w:p>
    <w:p w14:paraId="3A9BDF02" w14:textId="77777777" w:rsidR="004006D0" w:rsidRDefault="00664F75" w:rsidP="00664F7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Indications concernant le chiffre d'affaires annuel général sur 3 ans.</w:t>
      </w:r>
    </w:p>
    <w:p w14:paraId="08C714D0" w14:textId="5BCA8BE0" w:rsidR="004006D0" w:rsidRDefault="00664F75" w:rsidP="00664F7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concernant le montant couvert par l'assurance pour risques professionnels</w:t>
      </w:r>
    </w:p>
    <w:p w14:paraId="0464F455" w14:textId="77777777" w:rsidR="009E341C" w:rsidRDefault="009E341C" w:rsidP="009E341C">
      <w:pPr>
        <w:autoSpaceDE w:val="0"/>
        <w:autoSpaceDN w:val="0"/>
        <w:adjustRightInd w:val="0"/>
        <w:spacing w:after="0" w:line="240" w:lineRule="auto"/>
        <w:ind w:left="580"/>
        <w:rPr>
          <w:rFonts w:ascii="Verdana" w:hAnsi="Verdana" w:cs="Times New Roman"/>
          <w:sz w:val="20"/>
          <w:szCs w:val="24"/>
        </w:rPr>
      </w:pPr>
    </w:p>
    <w:p w14:paraId="5876352B" w14:textId="77777777" w:rsidR="004006D0" w:rsidRDefault="00664F75" w:rsidP="00664F7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b/>
          <w:sz w:val="20"/>
          <w:szCs w:val="24"/>
        </w:rPr>
        <w:t>Capacité technique et professionnelle :</w:t>
      </w:r>
      <w:r>
        <w:rPr>
          <w:rFonts w:ascii="Verdana" w:hAnsi="Verdana" w:cs="Times New Roman"/>
          <w:sz w:val="20"/>
          <w:szCs w:val="24"/>
        </w:rPr>
        <w:t xml:space="preserve"> </w:t>
      </w:r>
    </w:p>
    <w:p w14:paraId="49E2A902" w14:textId="77777777" w:rsidR="004006D0" w:rsidRDefault="00664F75" w:rsidP="00664F7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Références des principales fournitures ou des principaux services fournis sur 3 ans.</w:t>
      </w:r>
    </w:p>
    <w:p w14:paraId="177A8B45" w14:textId="77777777" w:rsidR="004006D0" w:rsidRDefault="00664F75" w:rsidP="00664F7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Acceptation de références en fournitures et services datant de plus de trois ans</w:t>
      </w:r>
    </w:p>
    <w:p w14:paraId="533D8BDD" w14:textId="77777777" w:rsidR="004006D0" w:rsidRDefault="00664F75" w:rsidP="00664F7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des techniciens ou organismes techniques, en particulier des responsables du contrôle de la qualité, auxquels peut faire appel l'opérateur économique</w:t>
      </w:r>
    </w:p>
    <w:p w14:paraId="7B2B8728" w14:textId="77777777" w:rsidR="004006D0" w:rsidRDefault="00664F75" w:rsidP="00664F7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Titres d'études et professionnels exigés du prestataire de services ou du contractant lui-même</w:t>
      </w:r>
    </w:p>
    <w:p w14:paraId="4FECFC9F" w14:textId="77777777" w:rsidR="004006D0" w:rsidRDefault="00664F75" w:rsidP="00664F7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une déclaration indiquant l'outillage, le matériel et l'équipement technique dont le candidat dispose pour l'exécution du marché</w:t>
      </w:r>
    </w:p>
    <w:p w14:paraId="51A4399A" w14:textId="77777777" w:rsidR="004006D0" w:rsidRDefault="00664F75" w:rsidP="00664F75">
      <w:pPr>
        <w:numPr>
          <w:ilvl w:val="0"/>
          <w:numId w:val="2"/>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Indication de la part du marché que l'opérateur économique a éventuellement l'intention de sous-traiter.</w:t>
      </w:r>
    </w:p>
    <w:p w14:paraId="24429A9F"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2A3278CA"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6D50AB9B"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Procédure :</w:t>
      </w:r>
      <w:r>
        <w:rPr>
          <w:rFonts w:ascii="Verdana" w:hAnsi="Verdana" w:cs="Times New Roman"/>
          <w:sz w:val="20"/>
          <w:szCs w:val="24"/>
        </w:rPr>
        <w:t xml:space="preserve"> Appel d'offres ouvert</w:t>
      </w:r>
    </w:p>
    <w:p w14:paraId="4AD44B6D"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4D5E60A6" w14:textId="77777777" w:rsidR="004006D0" w:rsidRDefault="00664F7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Critères d'attribution</w:t>
      </w:r>
    </w:p>
    <w:p w14:paraId="38AEA828"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classement des offres et le choix du/des attributaire(s) sont fondés sur l'offre économiquement la plus avantageuse appréciée en fonction des critères pondérés énoncés ci-dessous :</w:t>
      </w:r>
    </w:p>
    <w:p w14:paraId="1F75D6EE"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0B40BC3E" w14:textId="4325E44C"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1.</w:t>
      </w:r>
      <w:r>
        <w:rPr>
          <w:rFonts w:ascii="Verdana" w:hAnsi="Verdana" w:cs="Times New Roman"/>
          <w:sz w:val="20"/>
          <w:szCs w:val="24"/>
        </w:rPr>
        <w:t xml:space="preserve"> Critère Prix</w:t>
      </w:r>
      <w:r w:rsidR="009E341C">
        <w:rPr>
          <w:rFonts w:ascii="Verdana" w:hAnsi="Verdana" w:cs="Times New Roman"/>
          <w:sz w:val="20"/>
          <w:szCs w:val="24"/>
        </w:rPr>
        <w:t xml:space="preserve"> </w:t>
      </w:r>
      <w:r>
        <w:rPr>
          <w:rFonts w:ascii="Verdana" w:hAnsi="Verdana" w:cs="Times New Roman"/>
          <w:sz w:val="20"/>
          <w:szCs w:val="24"/>
        </w:rPr>
        <w:t>pondéré à 60 sur 100 points.</w:t>
      </w:r>
    </w:p>
    <w:p w14:paraId="4D825BE8"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0B7F82BF" w14:textId="5A25396A"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2.</w:t>
      </w:r>
      <w:r>
        <w:rPr>
          <w:rFonts w:ascii="Verdana" w:hAnsi="Verdana" w:cs="Times New Roman"/>
          <w:sz w:val="20"/>
          <w:szCs w:val="24"/>
        </w:rPr>
        <w:t xml:space="preserve"> Critère Valeur technique</w:t>
      </w:r>
      <w:r w:rsidR="009E341C">
        <w:rPr>
          <w:rFonts w:ascii="Verdana" w:hAnsi="Verdana" w:cs="Times New Roman"/>
          <w:sz w:val="20"/>
          <w:szCs w:val="24"/>
        </w:rPr>
        <w:t xml:space="preserve"> </w:t>
      </w:r>
      <w:r>
        <w:rPr>
          <w:rFonts w:ascii="Verdana" w:hAnsi="Verdana" w:cs="Times New Roman"/>
          <w:sz w:val="20"/>
          <w:szCs w:val="24"/>
        </w:rPr>
        <w:t>pondéré à 40 sur 100 points.</w:t>
      </w:r>
    </w:p>
    <w:p w14:paraId="35C78E10"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30CAEDA5"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Renseignements d'ordre administratif :</w:t>
      </w:r>
      <w:r>
        <w:rPr>
          <w:rFonts w:ascii="Verdana" w:hAnsi="Verdana" w:cs="Times New Roman"/>
          <w:sz w:val="20"/>
          <w:szCs w:val="24"/>
        </w:rPr>
        <w:t xml:space="preserve"> </w:t>
      </w:r>
    </w:p>
    <w:p w14:paraId="740BA728"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Numéro de référence du marché : AOO N°23FO071</w:t>
      </w:r>
    </w:p>
    <w:p w14:paraId="7E18B006"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présente consultation est une consultation initiale.</w:t>
      </w:r>
    </w:p>
    <w:p w14:paraId="1425D82F"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d'envoi du présent avis à la publication :</w:t>
      </w:r>
      <w:r>
        <w:rPr>
          <w:rFonts w:ascii="Verdana" w:hAnsi="Verdana" w:cs="Times New Roman"/>
          <w:sz w:val="20"/>
          <w:szCs w:val="24"/>
        </w:rPr>
        <w:t xml:space="preserve"> 16/10/2023</w:t>
      </w:r>
    </w:p>
    <w:p w14:paraId="0AE33C40"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i/>
          <w:sz w:val="20"/>
          <w:szCs w:val="24"/>
        </w:rPr>
        <w:t>Date limite de réception des offres :</w:t>
      </w:r>
      <w:r>
        <w:rPr>
          <w:rFonts w:ascii="Verdana" w:hAnsi="Verdana" w:cs="Times New Roman"/>
          <w:sz w:val="20"/>
          <w:szCs w:val="24"/>
        </w:rPr>
        <w:t xml:space="preserve"> 21/11/2023 à 15:00</w:t>
      </w:r>
    </w:p>
    <w:p w14:paraId="4A8B0711"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soumissionnaire est tenu de maintenir son offre pendant un délai de 90 jours à compter de la date limite de réception des offres.</w:t>
      </w:r>
    </w:p>
    <w:p w14:paraId="463CA7B9" w14:textId="77777777" w:rsidR="009E341C" w:rsidRDefault="009E341C">
      <w:pPr>
        <w:autoSpaceDE w:val="0"/>
        <w:autoSpaceDN w:val="0"/>
        <w:adjustRightInd w:val="0"/>
        <w:spacing w:after="0" w:line="240" w:lineRule="auto"/>
        <w:jc w:val="both"/>
        <w:rPr>
          <w:rFonts w:ascii="Verdana" w:hAnsi="Verdana" w:cs="Times New Roman"/>
          <w:b/>
          <w:sz w:val="20"/>
          <w:szCs w:val="24"/>
        </w:rPr>
      </w:pPr>
    </w:p>
    <w:p w14:paraId="529AEA45" w14:textId="5A428D89"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Modalités d'ouverture des offres</w:t>
      </w:r>
      <w:r>
        <w:rPr>
          <w:rFonts w:ascii="Verdana" w:hAnsi="Verdana" w:cs="Times New Roman"/>
          <w:sz w:val="20"/>
          <w:szCs w:val="24"/>
        </w:rPr>
        <w:t xml:space="preserve"> </w:t>
      </w:r>
    </w:p>
    <w:p w14:paraId="1C1A43C4"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Les offres seront ouvertes le 21/11/2023 à 15:01.</w:t>
      </w:r>
    </w:p>
    <w:p w14:paraId="36A682DB"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lieu d'ouverture des offres est Salle Noell Hôtel de Ville.</w:t>
      </w:r>
    </w:p>
    <w:p w14:paraId="2CF6DE6E"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Personnes autorisées à assister à l'ouverture des offres : non</w:t>
      </w:r>
    </w:p>
    <w:p w14:paraId="15BFF7C2"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00908022"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429043BC" w14:textId="77777777" w:rsidR="004006D0" w:rsidRDefault="00664F7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Délivrance du DCE</w:t>
      </w:r>
    </w:p>
    <w:p w14:paraId="338363A8" w14:textId="4D4A1AC9"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dossier de consultation est téléchargeable sur le profil d'acheteur</w:t>
      </w:r>
      <w:r w:rsidR="009E341C">
        <w:rPr>
          <w:rFonts w:ascii="Verdana" w:hAnsi="Verdana" w:cs="Times New Roman"/>
          <w:sz w:val="20"/>
          <w:szCs w:val="24"/>
        </w:rPr>
        <w:t xml:space="preserve">, soit : </w:t>
      </w:r>
      <w:hyperlink r:id="rId7" w:history="1">
        <w:r w:rsidR="009E341C" w:rsidRPr="00D667C0">
          <w:rPr>
            <w:rStyle w:val="Lienhypertexte"/>
            <w:rFonts w:ascii="Verdana" w:hAnsi="Verdana" w:cs="Times New Roman"/>
            <w:sz w:val="20"/>
            <w:szCs w:val="24"/>
          </w:rPr>
          <w:t>https://www.marches-securises.fr</w:t>
        </w:r>
      </w:hyperlink>
      <w:r w:rsidR="009E341C">
        <w:rPr>
          <w:rFonts w:ascii="Verdana" w:hAnsi="Verdana" w:cs="Times New Roman"/>
          <w:sz w:val="20"/>
          <w:szCs w:val="24"/>
        </w:rPr>
        <w:t>.</w:t>
      </w:r>
    </w:p>
    <w:p w14:paraId="675EF032" w14:textId="77777777" w:rsidR="004006D0" w:rsidRDefault="00664F7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Modalités essentielles de financement et de paiement :</w:t>
      </w:r>
    </w:p>
    <w:p w14:paraId="40318D66"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 délai global de paiement des prestations est fixé à 30 jours.</w:t>
      </w:r>
    </w:p>
    <w:p w14:paraId="480A56B9" w14:textId="31CAA329"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Modalités de financement des prestations : Les dépenses effectuées au titre du présent marché seront imputées sur le Budget de l'EPIC </w:t>
      </w:r>
      <w:r w:rsidR="009E341C">
        <w:rPr>
          <w:rFonts w:ascii="Verdana" w:hAnsi="Verdana" w:cs="Times New Roman"/>
          <w:sz w:val="20"/>
          <w:szCs w:val="24"/>
        </w:rPr>
        <w:t>Camping</w:t>
      </w:r>
      <w:r>
        <w:rPr>
          <w:rFonts w:ascii="Verdana" w:hAnsi="Verdana" w:cs="Times New Roman"/>
          <w:sz w:val="20"/>
          <w:szCs w:val="24"/>
        </w:rPr>
        <w:t xml:space="preserve"> de Saint-Cyprien au titre de l'exercice 20</w:t>
      </w:r>
      <w:r w:rsidR="009E341C">
        <w:rPr>
          <w:rFonts w:ascii="Verdana" w:hAnsi="Verdana" w:cs="Times New Roman"/>
          <w:sz w:val="20"/>
          <w:szCs w:val="24"/>
        </w:rPr>
        <w:t>24</w:t>
      </w:r>
      <w:r>
        <w:rPr>
          <w:rFonts w:ascii="Verdana" w:hAnsi="Verdana" w:cs="Times New Roman"/>
          <w:sz w:val="20"/>
          <w:szCs w:val="24"/>
        </w:rPr>
        <w:t xml:space="preserve"> et suivants.</w:t>
      </w:r>
    </w:p>
    <w:p w14:paraId="4FADDAC9"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5BAF3A38"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6C595114" w14:textId="77777777" w:rsidR="004006D0" w:rsidRDefault="00664F7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Avis périodique :</w:t>
      </w:r>
    </w:p>
    <w:p w14:paraId="39886B32"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ne s'agit pas d'un marché périodique.</w:t>
      </w:r>
    </w:p>
    <w:p w14:paraId="41852B9D"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2CE706B2"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Forme juridique que devra revêtir le groupement d'opérateurs économiques attributaire du marché :</w:t>
      </w:r>
      <w:r>
        <w:rPr>
          <w:rFonts w:ascii="Verdana" w:hAnsi="Verdana" w:cs="Times New Roman"/>
          <w:sz w:val="20"/>
          <w:szCs w:val="24"/>
        </w:rPr>
        <w:t xml:space="preserve"> Après l'attribution du marché, la personne signataire du marché pourra exiger que le titulaire adopte la forme juridique suivante : groupement solidaire.</w:t>
      </w:r>
    </w:p>
    <w:p w14:paraId="35F89A47"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1D4377CD"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même entreprise ne peut pas présenter pour le marché ou un de ses lots plusieurs offres, en agissant à la fois :</w:t>
      </w:r>
    </w:p>
    <w:p w14:paraId="4057BD6D" w14:textId="77777777" w:rsidR="004006D0" w:rsidRDefault="00664F75" w:rsidP="00664F75">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candidat individuel et de membre d'un ou plusieurs groupements ;</w:t>
      </w:r>
    </w:p>
    <w:p w14:paraId="010AE328" w14:textId="77777777" w:rsidR="004006D0" w:rsidRDefault="00664F75" w:rsidP="00664F75">
      <w:pPr>
        <w:numPr>
          <w:ilvl w:val="0"/>
          <w:numId w:val="1"/>
        </w:numPr>
        <w:autoSpaceDE w:val="0"/>
        <w:autoSpaceDN w:val="0"/>
        <w:adjustRightInd w:val="0"/>
        <w:spacing w:after="0" w:line="240" w:lineRule="auto"/>
        <w:ind w:left="580" w:hanging="250"/>
        <w:rPr>
          <w:rFonts w:ascii="Verdana" w:hAnsi="Verdana" w:cs="Times New Roman"/>
          <w:sz w:val="20"/>
          <w:szCs w:val="24"/>
        </w:rPr>
      </w:pPr>
      <w:r>
        <w:rPr>
          <w:rFonts w:ascii="Verdana" w:hAnsi="Verdana" w:cs="Times New Roman"/>
          <w:sz w:val="20"/>
          <w:szCs w:val="24"/>
        </w:rPr>
        <w:t>en qualité de membre de plusieurs groupements.</w:t>
      </w:r>
    </w:p>
    <w:p w14:paraId="19B91FDE"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w:t>
      </w:r>
    </w:p>
    <w:p w14:paraId="6E08532D"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Instance chargée des procédures de recours :</w:t>
      </w:r>
      <w:r>
        <w:rPr>
          <w:rFonts w:ascii="Verdana" w:hAnsi="Verdana" w:cs="Times New Roman"/>
          <w:sz w:val="20"/>
          <w:szCs w:val="24"/>
        </w:rPr>
        <w:t xml:space="preserve"> </w:t>
      </w:r>
    </w:p>
    <w:p w14:paraId="506BCE49"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Tribunal Administratif de Montpellier</w:t>
      </w:r>
    </w:p>
    <w:p w14:paraId="52D59C29"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06 rue Pitot</w:t>
      </w:r>
    </w:p>
    <w:p w14:paraId="67D4C255"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0467548100</w:t>
      </w:r>
    </w:p>
    <w:p w14:paraId="6830373B"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34000 Montpellier</w:t>
      </w:r>
    </w:p>
    <w:p w14:paraId="1A922125"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Tél: 0467548100</w:t>
      </w:r>
    </w:p>
    <w:p w14:paraId="730E576A"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Fax : 0467548156</w:t>
      </w:r>
    </w:p>
    <w:p w14:paraId="083C6896"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Courriel: greffe.ta-montpellier@juradm.fr</w:t>
      </w:r>
    </w:p>
    <w:p w14:paraId="1084E556"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Adresse Internet (URL): http://www.montpellier.tribunal-administratif.fr</w:t>
      </w:r>
    </w:p>
    <w:p w14:paraId="555ED97A"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32C9F0DE"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Introduction des recours : </w:t>
      </w:r>
      <w:r>
        <w:rPr>
          <w:rFonts w:ascii="Verdana" w:hAnsi="Verdana" w:cs="Times New Roman"/>
          <w:sz w:val="20"/>
          <w:szCs w:val="24"/>
        </w:rPr>
        <w:t xml:space="preserve"> - Référé contractuel : conformément aux dispositions des L.551- 13 et R.551-7 du Code de la Justice Administrative, dans un délai :- de 31 jours suivant la publication d'un avis d'attribution du marché public,- de 6 mois à compter du lendemain du jour de la conclusion du contrat en l'absence de publication d'un avis d'attribution. Ce recours ne peut être exercé dans les cas suivants :- à l'égard des marchés publics dont la passation n'est pas soumise à une obligation de publicité préalable lorsque le pouvoir adjudicateur a, avant la conclusion du contrat, rendu publique son intention de le conclure et observé un délai de onze jours après cette publication,- à l'égard des marchés publics soumis à publicité préalable auxquels ne s'applique pas l'obligation de communiquer la décision d'attribution aux candidats non retenus (marchés à procédure adaptée) lorsque le pouvoir adjudicateur a, avant la conclusion du contrat, rendu publique son intention de le conclure et observé un délai de onze jours après cette publication,- par les demandeurs ayant fait usage du référé précontractuel dès lors que le pouvoir adjudicateur a respecté la suspension prévue à l'article L. 551-4 du code de justice administrative et s'est conformé à la décision juridictionnelle rendue sur ce recours.- Recours en excès de pouvoir : conformément aux dispositions de l'article R.421-1 du Code de la Justice Administrative dans un délai de deux mois à compter de la notification de la décision d'attribution ou de rejet.- Recours de plein contentieux : conformément à l'article R 421-1 du Code de la Justice Administrative et à l'arrêt du Conseil d'Etat du 4 avril 2014, tout tiers justifiant d'un intérêt lésé peut former un recours en pleine juridiction, dans un délai de deux mois à compter de la publicité annonçant la conclusion du marché public.</w:t>
      </w:r>
    </w:p>
    <w:p w14:paraId="082A3C6F"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575D2240"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2AF7C65F" w14:textId="77777777" w:rsidR="004006D0" w:rsidRDefault="00664F7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Conditions de remise des candidatures</w:t>
      </w:r>
    </w:p>
    <w:p w14:paraId="7E81EB2C"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transmission des candidatures se fait obligatoirement par voie électronique via le profil d'acheteur : https://www.marches-securises.fr.</w:t>
      </w:r>
    </w:p>
    <w:p w14:paraId="5927EDD2"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Un mode d'emploi est disponible sur le site. Les frais d'accès au réseau sont à la charge des candidats.</w:t>
      </w:r>
    </w:p>
    <w:p w14:paraId="0E999F7D" w14:textId="77777777" w:rsidR="009E341C" w:rsidRDefault="009E341C">
      <w:pPr>
        <w:autoSpaceDE w:val="0"/>
        <w:autoSpaceDN w:val="0"/>
        <w:adjustRightInd w:val="0"/>
        <w:spacing w:after="0" w:line="240" w:lineRule="auto"/>
        <w:jc w:val="both"/>
        <w:rPr>
          <w:rFonts w:ascii="Verdana" w:hAnsi="Verdana" w:cs="Times New Roman"/>
          <w:sz w:val="20"/>
          <w:szCs w:val="24"/>
        </w:rPr>
      </w:pPr>
    </w:p>
    <w:p w14:paraId="6BDB6E6C" w14:textId="45E21DAF"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remise des candidatures contre récépissé n'est pas autorisée.</w:t>
      </w:r>
    </w:p>
    <w:p w14:paraId="5C281CF8"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 présentation d'une candidature sous forme d'un support physique électronique n'est pas autorisée.</w:t>
      </w:r>
    </w:p>
    <w:p w14:paraId="2347939F" w14:textId="77777777" w:rsidR="009E341C" w:rsidRDefault="009E341C">
      <w:pPr>
        <w:autoSpaceDE w:val="0"/>
        <w:autoSpaceDN w:val="0"/>
        <w:adjustRightInd w:val="0"/>
        <w:spacing w:after="0" w:line="240" w:lineRule="auto"/>
        <w:jc w:val="both"/>
        <w:rPr>
          <w:rFonts w:ascii="Verdana" w:hAnsi="Verdana" w:cs="Times New Roman"/>
          <w:sz w:val="20"/>
          <w:szCs w:val="24"/>
        </w:rPr>
      </w:pPr>
    </w:p>
    <w:p w14:paraId="09EC3A20" w14:textId="36883AE1"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L'envoi des candidatures par voie postale n'est pas autorisé.</w:t>
      </w:r>
    </w:p>
    <w:p w14:paraId="467EA3E8"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0362E3A9"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03C47ED9" w14:textId="77777777" w:rsidR="004006D0" w:rsidRDefault="00664F7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Signature des documents transmis par le candidat</w:t>
      </w:r>
    </w:p>
    <w:p w14:paraId="24430401"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L'acheteur exige que les opérateurs économiques signent électroniquement le DUME (électronique) ou documents équivalents (DC1 et DC2).</w:t>
      </w:r>
    </w:p>
    <w:p w14:paraId="39FD648B"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Il est exigé des candidats que l'acte d'engagement soit signé(e) électroniquement dès le stade de la réception des offres. L'absence de signature électronique entraine l'irrégularité de l'offre.</w:t>
      </w:r>
    </w:p>
    <w:p w14:paraId="4906FB97"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En cas de groupement l'acte d'engagement sera signé(e) par chaque membre du groupement ou par le mandataire dument habilité par un document d'habilitation (copie de la convention de groupement ou acte spécifique d'habilitation).</w:t>
      </w:r>
    </w:p>
    <w:p w14:paraId="2BEEBA8E"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Ce document d'habilitation devra être fourni, signé de façon électronique par les autres membres du groupement, dès le stade de la réception des candidatures.</w:t>
      </w:r>
    </w:p>
    <w:p w14:paraId="0077A63E" w14:textId="0BF6F1FD"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L'obligation de signature électronique se fait conformément aux conditions fixées par l'arrêté du 22 mars 2019 relatif à la signature électronique des contrats de la commande publique.</w:t>
      </w:r>
    </w:p>
    <w:p w14:paraId="1BAE255E" w14:textId="77777777" w:rsidR="009E341C" w:rsidRDefault="009E341C">
      <w:pPr>
        <w:autoSpaceDE w:val="0"/>
        <w:autoSpaceDN w:val="0"/>
        <w:adjustRightInd w:val="0"/>
        <w:spacing w:after="0" w:line="240" w:lineRule="auto"/>
        <w:jc w:val="both"/>
        <w:rPr>
          <w:rFonts w:ascii="Verdana" w:hAnsi="Verdana" w:cs="Times New Roman"/>
          <w:sz w:val="20"/>
          <w:szCs w:val="24"/>
        </w:rPr>
      </w:pPr>
    </w:p>
    <w:p w14:paraId="09314509" w14:textId="77777777" w:rsidR="004006D0" w:rsidRDefault="00664F7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Autres Informations</w:t>
      </w:r>
    </w:p>
    <w:p w14:paraId="423219B3" w14:textId="3A3820EE" w:rsidR="004006D0" w:rsidRDefault="00664F75">
      <w:pPr>
        <w:autoSpaceDE w:val="0"/>
        <w:autoSpaceDN w:val="0"/>
        <w:adjustRightInd w:val="0"/>
        <w:spacing w:after="0" w:line="240" w:lineRule="auto"/>
        <w:jc w:val="both"/>
        <w:rPr>
          <w:rFonts w:ascii="Verdana" w:hAnsi="Verdana" w:cs="Times New Roman"/>
          <w:b/>
          <w:sz w:val="20"/>
          <w:szCs w:val="24"/>
        </w:rPr>
      </w:pPr>
      <w:r>
        <w:rPr>
          <w:rFonts w:ascii="Verdana" w:hAnsi="Verdana" w:cs="Times New Roman"/>
          <w:b/>
          <w:sz w:val="20"/>
          <w:szCs w:val="24"/>
        </w:rPr>
        <w:t>Les candidats sont tenus de fournir les documents et renseignements qu'ils ont déjà transmis dans une précédente consultation et qui demeurent valables.</w:t>
      </w:r>
    </w:p>
    <w:p w14:paraId="1710CC8C" w14:textId="77777777" w:rsidR="004006D0" w:rsidRDefault="004006D0">
      <w:pPr>
        <w:autoSpaceDE w:val="0"/>
        <w:autoSpaceDN w:val="0"/>
        <w:adjustRightInd w:val="0"/>
        <w:spacing w:after="0" w:line="240" w:lineRule="auto"/>
        <w:jc w:val="both"/>
        <w:rPr>
          <w:rFonts w:ascii="Verdana" w:hAnsi="Verdana" w:cs="Times New Roman"/>
          <w:b/>
          <w:sz w:val="20"/>
          <w:szCs w:val="24"/>
        </w:rPr>
      </w:pPr>
    </w:p>
    <w:p w14:paraId="7A83D0DA"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b/>
          <w:sz w:val="20"/>
          <w:szCs w:val="24"/>
        </w:rPr>
        <w:t xml:space="preserve">Renseignements complémentaires </w:t>
      </w:r>
      <w:r>
        <w:rPr>
          <w:rFonts w:ascii="Verdana" w:hAnsi="Verdana" w:cs="Times New Roman"/>
          <w:sz w:val="20"/>
          <w:szCs w:val="24"/>
        </w:rPr>
        <w:t xml:space="preserve"> </w:t>
      </w:r>
    </w:p>
    <w:p w14:paraId="2DF02BAA" w14:textId="77777777" w:rsidR="004006D0" w:rsidRDefault="00664F75">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Pour obtenir tous les renseignements complémentaires qui leur seraient nécessaires au cours de leur étude, les candidats devront faire parvenir une demande au moyen du profil d'acheteur au plus tard avant le 14/11/2023.</w:t>
      </w:r>
    </w:p>
    <w:p w14:paraId="71C7E4F5" w14:textId="77777777" w:rsidR="004006D0" w:rsidRDefault="004006D0">
      <w:pPr>
        <w:autoSpaceDE w:val="0"/>
        <w:autoSpaceDN w:val="0"/>
        <w:adjustRightInd w:val="0"/>
        <w:spacing w:after="0" w:line="240" w:lineRule="auto"/>
        <w:jc w:val="both"/>
        <w:rPr>
          <w:rFonts w:ascii="Verdana" w:hAnsi="Verdana" w:cs="Times New Roman"/>
          <w:sz w:val="20"/>
          <w:szCs w:val="24"/>
        </w:rPr>
      </w:pPr>
    </w:p>
    <w:p w14:paraId="1CA780CB" w14:textId="084FB934" w:rsidR="004006D0" w:rsidRDefault="009E341C">
      <w:pPr>
        <w:autoSpaceDE w:val="0"/>
        <w:autoSpaceDN w:val="0"/>
        <w:adjustRightInd w:val="0"/>
        <w:spacing w:after="0" w:line="240" w:lineRule="auto"/>
        <w:jc w:val="both"/>
        <w:rPr>
          <w:rFonts w:ascii="Verdana" w:hAnsi="Verdana" w:cs="Times New Roman"/>
          <w:sz w:val="20"/>
          <w:szCs w:val="24"/>
        </w:rPr>
      </w:pPr>
      <w:r>
        <w:rPr>
          <w:rFonts w:ascii="Verdana" w:hAnsi="Verdana" w:cs="Times New Roman"/>
          <w:sz w:val="20"/>
          <w:szCs w:val="24"/>
        </w:rPr>
        <w:t xml:space="preserve">-Une PSE est comprise </w:t>
      </w:r>
      <w:r w:rsidR="00FA7CCC">
        <w:rPr>
          <w:rFonts w:ascii="Verdana" w:hAnsi="Verdana" w:cs="Times New Roman"/>
          <w:sz w:val="20"/>
          <w:szCs w:val="24"/>
        </w:rPr>
        <w:t>dans l’offre.</w:t>
      </w:r>
    </w:p>
    <w:p w14:paraId="6104B3E6" w14:textId="77777777" w:rsidR="004006D0" w:rsidRDefault="004006D0">
      <w:pPr>
        <w:autoSpaceDE w:val="0"/>
        <w:autoSpaceDN w:val="0"/>
        <w:adjustRightInd w:val="0"/>
        <w:spacing w:after="0" w:line="240" w:lineRule="auto"/>
        <w:jc w:val="both"/>
        <w:rPr>
          <w:rFonts w:ascii="Verdana" w:hAnsi="Verdana" w:cs="Times New Roman"/>
          <w:sz w:val="20"/>
          <w:szCs w:val="24"/>
        </w:rPr>
      </w:pPr>
    </w:p>
    <w:sectPr w:rsidR="004006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8A028DE"/>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0"/>
    <w:lvlOverride w:ilvl="0">
      <w:lvl w:ilvl="0">
        <w:numFmt w:val="bullet"/>
        <w:lvlText w:val=""/>
        <w:legacy w:legacy="1" w:legacySpace="0" w:legacyIndent="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2"/>
    <w:rsid w:val="000769ED"/>
    <w:rsid w:val="002A3AE2"/>
    <w:rsid w:val="00347E23"/>
    <w:rsid w:val="004006D0"/>
    <w:rsid w:val="00421EF9"/>
    <w:rsid w:val="0051626B"/>
    <w:rsid w:val="00664F75"/>
    <w:rsid w:val="009E341C"/>
    <w:rsid w:val="00A507EE"/>
    <w:rsid w:val="00AC62D9"/>
    <w:rsid w:val="00AD5828"/>
    <w:rsid w:val="00BD1927"/>
    <w:rsid w:val="00CF170B"/>
    <w:rsid w:val="00D10892"/>
    <w:rsid w:val="00DB6643"/>
    <w:rsid w:val="00E172C4"/>
    <w:rsid w:val="00FA7C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8F5AF3"/>
  <w14:defaultImageDpi w14:val="0"/>
  <w15:docId w15:val="{BD005070-4F7A-4CF8-A8C5-F27BCF3E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E341C"/>
    <w:rPr>
      <w:color w:val="0563C1" w:themeColor="hyperlink"/>
      <w:u w:val="single"/>
    </w:rPr>
  </w:style>
  <w:style w:type="character" w:styleId="Mentionnonrsolue">
    <w:name w:val="Unresolved Mention"/>
    <w:basedOn w:val="Policepardfaut"/>
    <w:uiPriority w:val="99"/>
    <w:semiHidden/>
    <w:unhideWhenUsed/>
    <w:rsid w:val="009E3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arches-securise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C5B9-FFE5-4E7B-AB32-DD1BD2CD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1687</Words>
  <Characters>9808</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Camos</dc:creator>
  <cp:keywords/>
  <dc:description>Created by the HTML-to-RTF Pro DLL .Net 5.1.10.31</dc:description>
  <cp:lastModifiedBy>Christophe Vidal</cp:lastModifiedBy>
  <cp:revision>9</cp:revision>
  <dcterms:created xsi:type="dcterms:W3CDTF">2023-10-16T12:35:00Z</dcterms:created>
  <dcterms:modified xsi:type="dcterms:W3CDTF">2023-10-16T13:53:00Z</dcterms:modified>
</cp:coreProperties>
</file>