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A61C" w14:textId="77777777" w:rsidR="00D17097" w:rsidRDefault="00D17097">
      <w:pPr>
        <w:ind w:left="5670"/>
        <w:rPr>
          <w:rFonts w:ascii="Arial" w:hAnsi="Arial" w:cs="Arial"/>
          <w:sz w:val="22"/>
        </w:rPr>
      </w:pPr>
    </w:p>
    <w:p w14:paraId="22E084A6" w14:textId="77777777" w:rsidR="00D17097" w:rsidRDefault="00D17097">
      <w:pPr>
        <w:ind w:left="5670"/>
        <w:rPr>
          <w:rFonts w:ascii="Arial" w:hAnsi="Arial" w:cs="Arial"/>
          <w:sz w:val="22"/>
        </w:rPr>
      </w:pPr>
    </w:p>
    <w:p w14:paraId="1A4D8D2E" w14:textId="77777777" w:rsidR="00D17097" w:rsidRDefault="00602483">
      <w:pPr>
        <w:ind w:left="5670" w:hanging="2268"/>
        <w:rPr>
          <w:rFonts w:ascii="Arial" w:hAnsi="Arial" w:cs="Arial"/>
          <w:sz w:val="22"/>
        </w:rPr>
      </w:pPr>
      <w:r>
        <w:rPr>
          <w:rFonts w:ascii="Arial" w:hAnsi="Arial" w:cs="Arial"/>
          <w:noProof/>
          <w:sz w:val="22"/>
        </w:rPr>
        <mc:AlternateContent>
          <mc:Choice Requires="wps">
            <w:drawing>
              <wp:anchor distT="0" distB="0" distL="114300" distR="114300" simplePos="0" relativeHeight="2" behindDoc="0" locked="0" layoutInCell="1" allowOverlap="1" wp14:anchorId="1BA40A46" wp14:editId="03E64E1C">
                <wp:simplePos x="0" y="0"/>
                <wp:positionH relativeFrom="column">
                  <wp:posOffset>1835150</wp:posOffset>
                </wp:positionH>
                <wp:positionV relativeFrom="paragraph">
                  <wp:posOffset>67945</wp:posOffset>
                </wp:positionV>
                <wp:extent cx="2039620" cy="1652905"/>
                <wp:effectExtent l="0" t="0" r="0" b="0"/>
                <wp:wrapTight wrapText="bothSides">
                  <wp:wrapPolygon edited="0">
                    <wp:start x="269" y="332"/>
                    <wp:lineTo x="269" y="20911"/>
                    <wp:lineTo x="20981" y="20911"/>
                    <wp:lineTo x="20981" y="332"/>
                    <wp:lineTo x="269" y="332"/>
                  </wp:wrapPolygon>
                </wp:wrapTight>
                <wp:docPr id="1" name="Text Box 2"/>
                <wp:cNvGraphicFramePr/>
                <a:graphic xmlns:a="http://schemas.openxmlformats.org/drawingml/2006/main">
                  <a:graphicData uri="http://schemas.microsoft.com/office/word/2010/wordprocessingShape">
                    <wps:wsp>
                      <wps:cNvSpPr/>
                      <wps:spPr>
                        <a:xfrm>
                          <a:off x="0" y="0"/>
                          <a:ext cx="2039620" cy="1652905"/>
                        </a:xfrm>
                        <a:prstGeom prst="rect">
                          <a:avLst/>
                        </a:prstGeom>
                        <a:noFill/>
                        <a:ln>
                          <a:noFill/>
                        </a:ln>
                      </wps:spPr>
                      <wps:style>
                        <a:lnRef idx="0">
                          <a:scrgbClr r="0" g="0" b="0"/>
                        </a:lnRef>
                        <a:fillRef idx="0">
                          <a:scrgbClr r="0" g="0" b="0"/>
                        </a:fillRef>
                        <a:effectRef idx="0">
                          <a:scrgbClr r="0" g="0" b="0"/>
                        </a:effectRef>
                        <a:fontRef idx="minor"/>
                      </wps:style>
                      <wps:txbx>
                        <w:txbxContent>
                          <w:p w14:paraId="27C11641" w14:textId="124C1077" w:rsidR="00E62EB2" w:rsidRDefault="00E62EB2">
                            <w:pPr>
                              <w:pStyle w:val="Contenudecadre"/>
                              <w:rPr>
                                <w:color w:val="000000"/>
                              </w:rPr>
                            </w:pPr>
                            <w:r>
                              <w:rPr>
                                <w:noProof/>
                                <w:color w:val="000000"/>
                              </w:rPr>
                              <w:drawing>
                                <wp:inline distT="0" distB="0" distL="0" distR="0" wp14:anchorId="0B206BD1" wp14:editId="354F42D7">
                                  <wp:extent cx="1470025" cy="14700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Cateau Cambrésis.jpg"/>
                                          <pic:cNvPicPr/>
                                        </pic:nvPicPr>
                                        <pic:blipFill>
                                          <a:blip r:embed="rId8">
                                            <a:extLst>
                                              <a:ext uri="{28A0092B-C50C-407E-A947-70E740481C1C}">
                                                <a14:useLocalDpi xmlns:a14="http://schemas.microsoft.com/office/drawing/2010/main" val="0"/>
                                              </a:ext>
                                            </a:extLst>
                                          </a:blip>
                                          <a:stretch>
                                            <a:fillRect/>
                                          </a:stretch>
                                        </pic:blipFill>
                                        <pic:spPr>
                                          <a:xfrm>
                                            <a:off x="0" y="0"/>
                                            <a:ext cx="1470025" cy="1470025"/>
                                          </a:xfrm>
                                          <a:prstGeom prst="rect">
                                            <a:avLst/>
                                          </a:prstGeom>
                                        </pic:spPr>
                                      </pic:pic>
                                    </a:graphicData>
                                  </a:graphic>
                                </wp:inline>
                              </w:drawing>
                            </w: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1BA40A46" id="Text Box 2" o:spid="_x0000_s1026" style="position:absolute;left:0;text-align:left;margin-left:144.5pt;margin-top:5.35pt;width:160.6pt;height:130.1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" filled="f" stroked="f">
                <v:textbox inset=",7.2pt,,7.2pt">
                  <w:txbxContent>
                    <w:p w14:paraId="27C11641" w14:textId="124C1077" w:rsidR="00E62EB2" w:rsidRDefault="00E62EB2">
                      <w:pPr>
                        <w:pStyle w:val="Contenudecadre"/>
                        <w:rPr>
                          <w:color w:val="000000"/>
                        </w:rPr>
                      </w:pPr>
                      <w:r>
                        <w:rPr>
                          <w:noProof/>
                          <w:color w:val="000000"/>
                        </w:rPr>
                        <w:drawing>
                          <wp:inline distT="0" distB="0" distL="0" distR="0" wp14:anchorId="0B206BD1" wp14:editId="354F42D7">
                            <wp:extent cx="1470025" cy="14700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Cateau Cambrésis.jpg"/>
                                    <pic:cNvPicPr/>
                                  </pic:nvPicPr>
                                  <pic:blipFill>
                                    <a:blip r:embed="rId8">
                                      <a:extLst>
                                        <a:ext uri="{28A0092B-C50C-407E-A947-70E740481C1C}">
                                          <a14:useLocalDpi xmlns:a14="http://schemas.microsoft.com/office/drawing/2010/main" val="0"/>
                                        </a:ext>
                                      </a:extLst>
                                    </a:blip>
                                    <a:stretch>
                                      <a:fillRect/>
                                    </a:stretch>
                                  </pic:blipFill>
                                  <pic:spPr>
                                    <a:xfrm>
                                      <a:off x="0" y="0"/>
                                      <a:ext cx="1470025" cy="1470025"/>
                                    </a:xfrm>
                                    <a:prstGeom prst="rect">
                                      <a:avLst/>
                                    </a:prstGeom>
                                  </pic:spPr>
                                </pic:pic>
                              </a:graphicData>
                            </a:graphic>
                          </wp:inline>
                        </w:drawing>
                      </w:r>
                    </w:p>
                  </w:txbxContent>
                </v:textbox>
                <w10:wrap type="tight"/>
              </v:rect>
            </w:pict>
          </mc:Fallback>
        </mc:AlternateContent>
      </w:r>
    </w:p>
    <w:p w14:paraId="2C2DCC05" w14:textId="77777777" w:rsidR="00D17097" w:rsidRDefault="00D17097">
      <w:pPr>
        <w:ind w:left="5670"/>
        <w:rPr>
          <w:rFonts w:ascii="Arial" w:hAnsi="Arial" w:cs="Arial"/>
          <w:sz w:val="22"/>
        </w:rPr>
      </w:pPr>
    </w:p>
    <w:p w14:paraId="73F89908" w14:textId="77777777" w:rsidR="00D17097" w:rsidRDefault="00D17097">
      <w:pPr>
        <w:jc w:val="center"/>
        <w:rPr>
          <w:rFonts w:ascii="Arial" w:hAnsi="Arial" w:cs="Arial"/>
          <w:b/>
          <w:iCs/>
          <w:sz w:val="32"/>
        </w:rPr>
      </w:pPr>
    </w:p>
    <w:p w14:paraId="2313B11C" w14:textId="77777777" w:rsidR="00D17097" w:rsidRDefault="00D17097">
      <w:pPr>
        <w:jc w:val="center"/>
        <w:rPr>
          <w:rFonts w:ascii="Arial" w:hAnsi="Arial" w:cs="Arial"/>
          <w:b/>
          <w:iCs/>
          <w:sz w:val="32"/>
        </w:rPr>
      </w:pPr>
    </w:p>
    <w:p w14:paraId="457E338C" w14:textId="77777777" w:rsidR="00D17097" w:rsidRDefault="00D17097">
      <w:pPr>
        <w:jc w:val="center"/>
        <w:rPr>
          <w:rFonts w:ascii="Arial" w:hAnsi="Arial" w:cs="Arial"/>
          <w:b/>
          <w:iCs/>
          <w:sz w:val="32"/>
        </w:rPr>
      </w:pPr>
    </w:p>
    <w:p w14:paraId="158C5A6D" w14:textId="77777777" w:rsidR="00D17097" w:rsidRDefault="00D17097">
      <w:pPr>
        <w:jc w:val="center"/>
        <w:rPr>
          <w:rFonts w:ascii="Arial" w:hAnsi="Arial" w:cs="Arial"/>
          <w:b/>
          <w:iCs/>
          <w:sz w:val="32"/>
        </w:rPr>
      </w:pPr>
    </w:p>
    <w:p w14:paraId="4475D5E6" w14:textId="77777777" w:rsidR="00D17097" w:rsidRDefault="00D17097">
      <w:pPr>
        <w:jc w:val="center"/>
        <w:rPr>
          <w:rFonts w:ascii="Arial" w:hAnsi="Arial" w:cs="Arial"/>
          <w:b/>
          <w:iCs/>
          <w:sz w:val="32"/>
        </w:rPr>
      </w:pPr>
    </w:p>
    <w:p w14:paraId="779BAB46" w14:textId="77777777" w:rsidR="00D17097" w:rsidRDefault="00D17097">
      <w:pPr>
        <w:jc w:val="center"/>
        <w:rPr>
          <w:rFonts w:ascii="Arial" w:hAnsi="Arial" w:cs="Arial"/>
          <w:b/>
          <w:iCs/>
          <w:sz w:val="32"/>
        </w:rPr>
      </w:pPr>
    </w:p>
    <w:p w14:paraId="2A068AA7" w14:textId="77777777" w:rsidR="00602483" w:rsidRDefault="00602483">
      <w:pPr>
        <w:jc w:val="center"/>
        <w:rPr>
          <w:rFonts w:ascii="Arial" w:hAnsi="Arial" w:cs="Arial"/>
          <w:b/>
          <w:iCs/>
          <w:sz w:val="32"/>
        </w:rPr>
      </w:pPr>
    </w:p>
    <w:p w14:paraId="5801E3A3" w14:textId="77777777" w:rsidR="00D17097" w:rsidRDefault="00602483">
      <w:pPr>
        <w:jc w:val="center"/>
        <w:rPr>
          <w:rFonts w:ascii="Arial" w:hAnsi="Arial" w:cs="Arial"/>
          <w:b/>
          <w:iCs/>
          <w:sz w:val="32"/>
        </w:rPr>
      </w:pPr>
      <w:r>
        <w:rPr>
          <w:rFonts w:ascii="Arial" w:hAnsi="Arial" w:cs="Arial"/>
          <w:b/>
          <w:iCs/>
          <w:sz w:val="32"/>
        </w:rPr>
        <w:t>RÈGLEMENT DE LA CONSULTATION</w:t>
      </w:r>
    </w:p>
    <w:p w14:paraId="5B86BC2E" w14:textId="77777777" w:rsidR="00D17097" w:rsidRDefault="00D17097">
      <w:pPr>
        <w:jc w:val="center"/>
        <w:rPr>
          <w:rFonts w:ascii="Arial" w:hAnsi="Arial" w:cs="Arial"/>
          <w:sz w:val="22"/>
        </w:rPr>
      </w:pPr>
    </w:p>
    <w:p w14:paraId="5AEE13FD" w14:textId="77777777" w:rsidR="00D17097" w:rsidRDefault="00D17097">
      <w:pPr>
        <w:ind w:left="4962"/>
        <w:rPr>
          <w:rFonts w:ascii="Arial" w:hAnsi="Arial" w:cs="Arial"/>
          <w:sz w:val="22"/>
        </w:rPr>
      </w:pPr>
    </w:p>
    <w:p w14:paraId="7A81C499" w14:textId="77777777" w:rsidR="00D17097" w:rsidRDefault="00D17097">
      <w:pPr>
        <w:rPr>
          <w:rFonts w:ascii="Arial" w:hAnsi="Arial" w:cs="Arial"/>
          <w:color w:val="548DD4"/>
          <w:sz w:val="22"/>
          <w:szCs w:val="22"/>
        </w:rPr>
      </w:pPr>
    </w:p>
    <w:p w14:paraId="5F600CCE" w14:textId="77777777" w:rsidR="00D17097" w:rsidRDefault="00D17097">
      <w:pPr>
        <w:rPr>
          <w:rFonts w:ascii="Arial" w:hAnsi="Arial" w:cs="Arial"/>
          <w:color w:val="548DD4"/>
          <w:sz w:val="22"/>
          <w:szCs w:val="22"/>
        </w:rPr>
      </w:pPr>
    </w:p>
    <w:p w14:paraId="02D811FB" w14:textId="77777777" w:rsidR="00D17097" w:rsidRDefault="00602483">
      <w:pPr>
        <w:pBdr>
          <w:top w:val="single" w:sz="4" w:space="1" w:color="000000"/>
          <w:left w:val="single" w:sz="4" w:space="4" w:color="000000"/>
          <w:bottom w:val="single" w:sz="4" w:space="1" w:color="000000"/>
          <w:right w:val="single" w:sz="4" w:space="4" w:color="000000"/>
        </w:pBdr>
        <w:ind w:right="-1"/>
        <w:jc w:val="center"/>
        <w:rPr>
          <w:rFonts w:ascii="Arial" w:hAnsi="Arial" w:cs="Arial"/>
          <w:sz w:val="28"/>
          <w:szCs w:val="22"/>
        </w:rPr>
      </w:pPr>
      <w:r>
        <w:rPr>
          <w:rFonts w:ascii="Arial" w:hAnsi="Arial" w:cs="Arial"/>
          <w:sz w:val="28"/>
          <w:szCs w:val="22"/>
        </w:rPr>
        <w:t>Objet du marché :</w:t>
      </w:r>
    </w:p>
    <w:p w14:paraId="3636872D" w14:textId="77777777" w:rsidR="00D17097" w:rsidRDefault="00D17097">
      <w:pPr>
        <w:pBdr>
          <w:top w:val="single" w:sz="4" w:space="1" w:color="000000"/>
          <w:left w:val="single" w:sz="4" w:space="4" w:color="000000"/>
          <w:bottom w:val="single" w:sz="4" w:space="1" w:color="000000"/>
          <w:right w:val="single" w:sz="4" w:space="4" w:color="000000"/>
        </w:pBdr>
        <w:ind w:right="-1"/>
        <w:jc w:val="center"/>
        <w:rPr>
          <w:rFonts w:ascii="Arial" w:hAnsi="Arial" w:cs="Arial"/>
          <w:sz w:val="28"/>
          <w:szCs w:val="22"/>
        </w:rPr>
      </w:pPr>
    </w:p>
    <w:p w14:paraId="64EC9DA4" w14:textId="4B3236A4" w:rsidR="00D17097" w:rsidRDefault="00602483">
      <w:pPr>
        <w:pBdr>
          <w:top w:val="single" w:sz="4" w:space="1" w:color="000000"/>
          <w:left w:val="single" w:sz="4" w:space="4" w:color="000000"/>
          <w:bottom w:val="single" w:sz="4" w:space="1" w:color="000000"/>
          <w:right w:val="single" w:sz="4" w:space="4" w:color="000000"/>
        </w:pBdr>
        <w:ind w:right="-1"/>
        <w:jc w:val="center"/>
        <w:rPr>
          <w:rFonts w:ascii="Arial" w:hAnsi="Arial" w:cs="Arial"/>
          <w:b/>
          <w:bCs/>
          <w:sz w:val="28"/>
          <w:szCs w:val="22"/>
        </w:rPr>
      </w:pPr>
      <w:r>
        <w:rPr>
          <w:rFonts w:ascii="Arial" w:hAnsi="Arial" w:cs="Arial"/>
          <w:b/>
          <w:bCs/>
          <w:sz w:val="28"/>
          <w:szCs w:val="22"/>
        </w:rPr>
        <w:t xml:space="preserve">Marché </w:t>
      </w:r>
      <w:r w:rsidR="00784DF8">
        <w:rPr>
          <w:rFonts w:ascii="Arial" w:hAnsi="Arial" w:cs="Arial"/>
          <w:b/>
          <w:bCs/>
          <w:sz w:val="28"/>
          <w:szCs w:val="22"/>
        </w:rPr>
        <w:t>de</w:t>
      </w:r>
    </w:p>
    <w:p w14:paraId="64689AAE" w14:textId="77777777" w:rsidR="00602483" w:rsidRPr="00602483" w:rsidRDefault="00602483">
      <w:pPr>
        <w:pBdr>
          <w:top w:val="single" w:sz="4" w:space="1" w:color="000000"/>
          <w:left w:val="single" w:sz="4" w:space="4" w:color="000000"/>
          <w:bottom w:val="single" w:sz="4" w:space="1" w:color="000000"/>
          <w:right w:val="single" w:sz="4" w:space="4" w:color="000000"/>
        </w:pBdr>
        <w:ind w:right="-1"/>
        <w:jc w:val="center"/>
        <w:rPr>
          <w:rFonts w:ascii="Arial" w:hAnsi="Arial" w:cs="Arial"/>
          <w:b/>
          <w:bCs/>
          <w:sz w:val="28"/>
          <w:szCs w:val="22"/>
        </w:rPr>
      </w:pPr>
    </w:p>
    <w:p w14:paraId="1C02F9F4" w14:textId="75C3294E" w:rsidR="00D17097" w:rsidRDefault="003B4D50" w:rsidP="00602483">
      <w:pPr>
        <w:pBdr>
          <w:top w:val="single" w:sz="4" w:space="1" w:color="000000"/>
          <w:left w:val="single" w:sz="4" w:space="4" w:color="000000"/>
          <w:bottom w:val="single" w:sz="4" w:space="1" w:color="000000"/>
          <w:right w:val="single" w:sz="4" w:space="4" w:color="000000"/>
        </w:pBdr>
        <w:ind w:right="-1"/>
        <w:jc w:val="center"/>
        <w:rPr>
          <w:rFonts w:ascii="Arial" w:hAnsi="Arial" w:cs="Arial"/>
          <w:b/>
          <w:sz w:val="28"/>
          <w:szCs w:val="22"/>
        </w:rPr>
      </w:pPr>
      <w:r>
        <w:rPr>
          <w:rFonts w:ascii="Arial" w:hAnsi="Arial" w:cs="Arial"/>
          <w:b/>
          <w:sz w:val="28"/>
          <w:szCs w:val="22"/>
        </w:rPr>
        <w:t>REQUALIFICATION DU QUARTIER SCHWEITZER</w:t>
      </w:r>
    </w:p>
    <w:p w14:paraId="4955A5B7" w14:textId="5B148EA5" w:rsidR="003B4D50" w:rsidRDefault="003B4D50" w:rsidP="00602483">
      <w:pPr>
        <w:pBdr>
          <w:top w:val="single" w:sz="4" w:space="1" w:color="000000"/>
          <w:left w:val="single" w:sz="4" w:space="4" w:color="000000"/>
          <w:bottom w:val="single" w:sz="4" w:space="1" w:color="000000"/>
          <w:right w:val="single" w:sz="4" w:space="4" w:color="000000"/>
        </w:pBdr>
        <w:ind w:right="-1"/>
        <w:jc w:val="center"/>
        <w:rPr>
          <w:rFonts w:ascii="Arial" w:hAnsi="Arial" w:cs="Arial"/>
          <w:b/>
          <w:sz w:val="28"/>
          <w:szCs w:val="22"/>
        </w:rPr>
      </w:pPr>
      <w:r>
        <w:rPr>
          <w:rFonts w:ascii="Arial" w:hAnsi="Arial" w:cs="Arial"/>
          <w:b/>
          <w:sz w:val="28"/>
          <w:szCs w:val="22"/>
        </w:rPr>
        <w:t>AMENAGEMENT DE L'ARBORETUM</w:t>
      </w:r>
    </w:p>
    <w:p w14:paraId="393BB8F8" w14:textId="77777777" w:rsidR="00D17097" w:rsidRDefault="00D17097">
      <w:pPr>
        <w:pBdr>
          <w:top w:val="single" w:sz="4" w:space="1" w:color="000000"/>
          <w:left w:val="single" w:sz="4" w:space="4" w:color="000000"/>
          <w:bottom w:val="single" w:sz="4" w:space="1" w:color="000000"/>
          <w:right w:val="single" w:sz="4" w:space="4" w:color="000000"/>
        </w:pBdr>
        <w:ind w:right="-1"/>
        <w:jc w:val="center"/>
        <w:rPr>
          <w:rFonts w:ascii="Arial" w:hAnsi="Arial" w:cs="Arial"/>
          <w:b/>
          <w:sz w:val="28"/>
          <w:szCs w:val="22"/>
        </w:rPr>
      </w:pPr>
    </w:p>
    <w:p w14:paraId="4333C5D4" w14:textId="77777777" w:rsidR="00D17097" w:rsidRDefault="00D17097">
      <w:pPr>
        <w:rPr>
          <w:rFonts w:ascii="Arial" w:hAnsi="Arial" w:cs="Arial"/>
          <w:i/>
          <w:iCs/>
          <w:color w:val="548DD4"/>
          <w:sz w:val="28"/>
        </w:rPr>
      </w:pPr>
    </w:p>
    <w:p w14:paraId="343937A6" w14:textId="77777777" w:rsidR="00D17097" w:rsidRDefault="00D17097">
      <w:pPr>
        <w:rPr>
          <w:rStyle w:val="Tableausimple31"/>
          <w:rFonts w:ascii="Arial" w:hAnsi="Arial" w:cs="Arial"/>
          <w:color w:val="548DD4"/>
          <w:sz w:val="28"/>
        </w:rPr>
      </w:pPr>
    </w:p>
    <w:p w14:paraId="1218A8C9" w14:textId="77777777" w:rsidR="00D17097" w:rsidRDefault="00D17097">
      <w:pPr>
        <w:rPr>
          <w:rStyle w:val="Tableausimple31"/>
          <w:rFonts w:ascii="Arial" w:hAnsi="Arial" w:cs="Arial"/>
          <w:color w:val="548DD4"/>
          <w:sz w:val="28"/>
        </w:rPr>
      </w:pPr>
    </w:p>
    <w:p w14:paraId="570FD373" w14:textId="77777777" w:rsidR="00D17097" w:rsidRDefault="00D17097">
      <w:pPr>
        <w:rPr>
          <w:rFonts w:ascii="Arial" w:hAnsi="Arial" w:cs="Arial"/>
          <w:b/>
          <w:color w:val="548DD4"/>
          <w:sz w:val="24"/>
          <w:szCs w:val="24"/>
        </w:rPr>
      </w:pPr>
    </w:p>
    <w:p w14:paraId="152FD7F8" w14:textId="77777777" w:rsidR="00D17097" w:rsidRDefault="00602483">
      <w:pPr>
        <w:ind w:left="284" w:right="282"/>
        <w:jc w:val="center"/>
        <w:rPr>
          <w:rStyle w:val="Tableausimple31"/>
          <w:rFonts w:ascii="Arial" w:hAnsi="Arial" w:cs="Arial"/>
          <w:b/>
          <w:i w:val="0"/>
          <w:color w:val="000000"/>
          <w:sz w:val="28"/>
          <w:szCs w:val="28"/>
        </w:rPr>
      </w:pPr>
      <w:r>
        <w:rPr>
          <w:rStyle w:val="Tableausimple31"/>
          <w:rFonts w:ascii="Arial" w:hAnsi="Arial" w:cs="Arial"/>
          <w:b/>
          <w:i w:val="0"/>
          <w:color w:val="000000"/>
          <w:sz w:val="28"/>
          <w:szCs w:val="28"/>
        </w:rPr>
        <w:t xml:space="preserve">MARCHE PUBLIC DE TRAVAUX </w:t>
      </w:r>
    </w:p>
    <w:p w14:paraId="677CFBDD" w14:textId="77777777" w:rsidR="00D17097" w:rsidRDefault="00D17097">
      <w:pPr>
        <w:ind w:left="284" w:right="282"/>
        <w:jc w:val="center"/>
        <w:rPr>
          <w:rStyle w:val="Tableausimple31"/>
          <w:rFonts w:ascii="Arial" w:hAnsi="Arial" w:cs="Arial"/>
          <w:b/>
          <w:i w:val="0"/>
          <w:color w:val="000000"/>
          <w:sz w:val="28"/>
          <w:szCs w:val="28"/>
        </w:rPr>
      </w:pPr>
    </w:p>
    <w:p w14:paraId="40D74505" w14:textId="77777777" w:rsidR="00D17097" w:rsidRDefault="00D17097">
      <w:pPr>
        <w:jc w:val="both"/>
        <w:rPr>
          <w:rFonts w:ascii="Arial" w:hAnsi="Arial" w:cs="Arial"/>
          <w:b/>
          <w:color w:val="548DD4"/>
          <w:sz w:val="24"/>
          <w:szCs w:val="24"/>
        </w:rPr>
      </w:pPr>
    </w:p>
    <w:p w14:paraId="1D7FB4B3" w14:textId="77777777" w:rsidR="00D17097" w:rsidRDefault="00D17097">
      <w:pPr>
        <w:ind w:right="282"/>
        <w:rPr>
          <w:rStyle w:val="Tableausimple31"/>
          <w:rFonts w:ascii="Arial" w:hAnsi="Arial" w:cs="Arial"/>
          <w:color w:val="548DD4"/>
          <w:sz w:val="28"/>
        </w:rPr>
      </w:pPr>
    </w:p>
    <w:p w14:paraId="4743EF60" w14:textId="77777777" w:rsidR="00D17097" w:rsidRDefault="00D17097">
      <w:pPr>
        <w:rPr>
          <w:rFonts w:ascii="Arial" w:hAnsi="Arial" w:cs="Arial"/>
          <w:color w:val="548DD4"/>
          <w:sz w:val="22"/>
          <w:szCs w:val="22"/>
        </w:rPr>
      </w:pPr>
    </w:p>
    <w:p w14:paraId="14430022" w14:textId="77777777" w:rsidR="00D17097" w:rsidRDefault="00602483">
      <w:pPr>
        <w:pBdr>
          <w:top w:val="single" w:sz="4" w:space="1" w:color="000000"/>
          <w:left w:val="single" w:sz="4" w:space="4" w:color="000000"/>
          <w:bottom w:val="single" w:sz="4" w:space="1" w:color="000000"/>
          <w:right w:val="single" w:sz="4" w:space="4" w:color="000000"/>
        </w:pBdr>
        <w:ind w:left="284" w:right="-1"/>
        <w:jc w:val="center"/>
        <w:rPr>
          <w:rFonts w:ascii="Arial" w:hAnsi="Arial" w:cs="Arial"/>
          <w:b/>
          <w:sz w:val="40"/>
        </w:rPr>
      </w:pPr>
      <w:r>
        <w:rPr>
          <w:rFonts w:ascii="Arial" w:hAnsi="Arial" w:cs="Arial"/>
          <w:b/>
          <w:sz w:val="40"/>
        </w:rPr>
        <w:t>Date limite de réception des offres :</w:t>
      </w:r>
    </w:p>
    <w:p w14:paraId="6968CC0D" w14:textId="09BAAA64" w:rsidR="00D17097" w:rsidRDefault="0093253B">
      <w:pPr>
        <w:pBdr>
          <w:top w:val="single" w:sz="4" w:space="1" w:color="000000"/>
          <w:left w:val="single" w:sz="4" w:space="4" w:color="000000"/>
          <w:bottom w:val="single" w:sz="4" w:space="1" w:color="000000"/>
          <w:right w:val="single" w:sz="4" w:space="4" w:color="000000"/>
        </w:pBdr>
        <w:ind w:left="284" w:right="-1"/>
        <w:jc w:val="center"/>
      </w:pPr>
      <w:r>
        <w:rPr>
          <w:rFonts w:ascii="Arial" w:hAnsi="Arial" w:cs="Arial"/>
          <w:b/>
          <w:sz w:val="40"/>
        </w:rPr>
        <w:t xml:space="preserve">Lundi 24 </w:t>
      </w:r>
      <w:r w:rsidR="003B4D50">
        <w:rPr>
          <w:rFonts w:ascii="Arial" w:hAnsi="Arial" w:cs="Arial"/>
          <w:b/>
          <w:sz w:val="40"/>
        </w:rPr>
        <w:t>Février 2025</w:t>
      </w:r>
      <w:r w:rsidR="00602483">
        <w:rPr>
          <w:rFonts w:ascii="Arial" w:hAnsi="Arial" w:cs="Arial"/>
          <w:b/>
          <w:sz w:val="40"/>
        </w:rPr>
        <w:t>, à 12 h 00</w:t>
      </w:r>
    </w:p>
    <w:p w14:paraId="7468F54C" w14:textId="77777777" w:rsidR="00D17097" w:rsidRDefault="00602483">
      <w:pPr>
        <w:pBdr>
          <w:top w:val="single" w:sz="4" w:space="1" w:color="000000"/>
          <w:left w:val="single" w:sz="4" w:space="4" w:color="000000"/>
          <w:bottom w:val="single" w:sz="4" w:space="1" w:color="000000"/>
          <w:right w:val="single" w:sz="4" w:space="4" w:color="000000"/>
        </w:pBdr>
        <w:ind w:left="284" w:right="-1"/>
        <w:jc w:val="center"/>
        <w:rPr>
          <w:rFonts w:ascii="Arial" w:hAnsi="Arial" w:cs="Arial"/>
          <w:b/>
          <w:sz w:val="40"/>
        </w:rPr>
      </w:pPr>
      <w:proofErr w:type="gramStart"/>
      <w:r>
        <w:rPr>
          <w:rFonts w:ascii="Arial" w:hAnsi="Arial" w:cs="Arial"/>
          <w:b/>
          <w:sz w:val="40"/>
        </w:rPr>
        <w:t>délai</w:t>
      </w:r>
      <w:proofErr w:type="gramEnd"/>
      <w:r>
        <w:rPr>
          <w:rFonts w:ascii="Arial" w:hAnsi="Arial" w:cs="Arial"/>
          <w:b/>
          <w:sz w:val="40"/>
        </w:rPr>
        <w:t xml:space="preserve"> de rigueur</w:t>
      </w:r>
    </w:p>
    <w:p w14:paraId="799757FF" w14:textId="77777777" w:rsidR="00D17097" w:rsidRDefault="00602483">
      <w:pPr>
        <w:rPr>
          <w:rFonts w:ascii="Cambria" w:hAnsi="Cambria"/>
          <w:b/>
          <w:bCs/>
          <w:color w:val="365F91"/>
          <w:sz w:val="28"/>
          <w:szCs w:val="28"/>
        </w:rPr>
      </w:pPr>
      <w:r>
        <w:br w:type="page"/>
      </w:r>
    </w:p>
    <w:p w14:paraId="3E17C759" w14:textId="77777777" w:rsidR="00D17097" w:rsidRDefault="00602483">
      <w:pPr>
        <w:keepNext/>
        <w:keepLines/>
        <w:shd w:val="pct12" w:color="auto" w:fill="auto"/>
        <w:spacing w:before="480" w:line="276" w:lineRule="auto"/>
        <w:jc w:val="center"/>
        <w:rPr>
          <w:rFonts w:ascii="Cambria" w:hAnsi="Cambria"/>
          <w:b/>
          <w:bCs/>
          <w:color w:val="365F91"/>
          <w:sz w:val="28"/>
          <w:szCs w:val="28"/>
        </w:rPr>
      </w:pPr>
      <w:r>
        <w:rPr>
          <w:rFonts w:ascii="Cambria" w:hAnsi="Cambria"/>
          <w:b/>
          <w:bCs/>
          <w:color w:val="365F91"/>
          <w:sz w:val="28"/>
          <w:szCs w:val="28"/>
        </w:rPr>
        <w:lastRenderedPageBreak/>
        <w:t>Table des matières</w:t>
      </w:r>
    </w:p>
    <w:p w14:paraId="314788F6" w14:textId="77777777" w:rsidR="00D17097" w:rsidRDefault="00D17097">
      <w:pPr>
        <w:sectPr w:rsidR="00D17097">
          <w:headerReference w:type="default" r:id="rId9"/>
          <w:footerReference w:type="default" r:id="rId10"/>
          <w:pgSz w:w="11906" w:h="16838"/>
          <w:pgMar w:top="851" w:right="1418" w:bottom="1418" w:left="1418" w:header="720" w:footer="720" w:gutter="0"/>
          <w:cols w:space="720"/>
          <w:formProt w:val="0"/>
          <w:titlePg/>
          <w:docGrid w:linePitch="100" w:charSpace="8192"/>
        </w:sectPr>
      </w:pPr>
    </w:p>
    <w:p w14:paraId="205E00DD" w14:textId="77777777" w:rsidR="00D17097" w:rsidRDefault="00D17097"/>
    <w:sdt>
      <w:sdtPr>
        <w:rPr>
          <w:rFonts w:ascii="Times New Roman" w:hAnsi="Times New Roman"/>
          <w:b w:val="0"/>
          <w:bCs w:val="0"/>
          <w:caps w:val="0"/>
          <w:sz w:val="20"/>
          <w:szCs w:val="20"/>
          <w:u w:val="none"/>
        </w:rPr>
        <w:id w:val="-2069648454"/>
        <w:docPartObj>
          <w:docPartGallery w:val="Table of Contents"/>
          <w:docPartUnique/>
        </w:docPartObj>
      </w:sdtPr>
      <w:sdtEndPr/>
      <w:sdtContent>
        <w:p w14:paraId="5153DA4D" w14:textId="77777777" w:rsidR="00D17097" w:rsidRDefault="00602483">
          <w:pPr>
            <w:pStyle w:val="TM11"/>
            <w:tabs>
              <w:tab w:val="right" w:pos="9061"/>
            </w:tabs>
            <w:rPr>
              <w:rFonts w:asciiTheme="minorHAnsi" w:eastAsiaTheme="minorEastAsia" w:hAnsiTheme="minorHAnsi" w:cstheme="minorBidi"/>
              <w:b w:val="0"/>
              <w:bCs w:val="0"/>
              <w:caps w:val="0"/>
              <w:sz w:val="24"/>
              <w:szCs w:val="24"/>
              <w:u w:val="none"/>
              <w:lang w:eastAsia="ja-JP"/>
            </w:rPr>
          </w:pPr>
          <w:r>
            <w:fldChar w:fldCharType="begin"/>
          </w:r>
          <w:r>
            <w:instrText>TOC \z \o "1-3" \u \h</w:instrText>
          </w:r>
          <w:r>
            <w:fldChar w:fldCharType="separate"/>
          </w:r>
          <w:r>
            <w:t>ARTICLE 1 – ACHETEUR</w:t>
          </w:r>
          <w:r>
            <w:tab/>
            <w:t>4</w:t>
          </w:r>
        </w:p>
        <w:p w14:paraId="18EAA8C5" w14:textId="77777777" w:rsidR="00D17097" w:rsidRDefault="00602483">
          <w:pPr>
            <w:pStyle w:val="TM11"/>
            <w:tabs>
              <w:tab w:val="right" w:pos="9061"/>
            </w:tabs>
            <w:rPr>
              <w:rFonts w:asciiTheme="minorHAnsi" w:eastAsiaTheme="minorEastAsia" w:hAnsiTheme="minorHAnsi" w:cstheme="minorBidi"/>
              <w:b w:val="0"/>
              <w:bCs w:val="0"/>
              <w:caps w:val="0"/>
              <w:sz w:val="24"/>
              <w:szCs w:val="24"/>
              <w:u w:val="none"/>
              <w:lang w:eastAsia="ja-JP"/>
            </w:rPr>
          </w:pPr>
          <w:r>
            <w:t>ARTICLE 2 – OBJET DU MARCHE</w:t>
          </w:r>
          <w:r>
            <w:tab/>
            <w:t>4</w:t>
          </w:r>
        </w:p>
        <w:p w14:paraId="7D595D83"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2.1 – Objet du marché</w:t>
          </w:r>
          <w:r>
            <w:tab/>
            <w:t>4</w:t>
          </w:r>
        </w:p>
        <w:p w14:paraId="68656386"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2.2 – Type de marché</w:t>
          </w:r>
          <w:r>
            <w:tab/>
            <w:t>4</w:t>
          </w:r>
        </w:p>
        <w:p w14:paraId="14A7EC1E"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2.3 – Forme du marché</w:t>
          </w:r>
          <w:r>
            <w:tab/>
            <w:t>4</w:t>
          </w:r>
        </w:p>
        <w:p w14:paraId="0919E59C"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2.4 – Décomposition en  lots</w:t>
          </w:r>
          <w:r>
            <w:tab/>
            <w:t>4</w:t>
          </w:r>
        </w:p>
        <w:p w14:paraId="418A59AE"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2.5 – Durée d’exécution</w:t>
          </w:r>
          <w:r>
            <w:tab/>
            <w:t>4</w:t>
          </w:r>
        </w:p>
        <w:p w14:paraId="739F310A"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2.6 – Modifications de détail au dossier de consultation</w:t>
          </w:r>
          <w:r>
            <w:tab/>
            <w:t>4</w:t>
          </w:r>
        </w:p>
        <w:p w14:paraId="3D293BC1"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2.7 – Mode de règlement et délai de paiement</w:t>
          </w:r>
          <w:r>
            <w:tab/>
            <w:t>5</w:t>
          </w:r>
        </w:p>
        <w:p w14:paraId="71E61CF9"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2.8 – Lieux d’exécution des travaux</w:t>
          </w:r>
          <w:r>
            <w:tab/>
            <w:t>5</w:t>
          </w:r>
        </w:p>
        <w:p w14:paraId="23F26FB3"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2.9 – Variantes</w:t>
          </w:r>
          <w:r>
            <w:tab/>
            <w:t>5</w:t>
          </w:r>
        </w:p>
        <w:p w14:paraId="26B3E797"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2.10 – Compléments à apporter au « Cahier des Clauses Particulières »</w:t>
          </w:r>
          <w:r>
            <w:tab/>
            <w:t>5</w:t>
          </w:r>
        </w:p>
        <w:p w14:paraId="5EC86338"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2.11 – Maîtrise d’œuvre et suivi des travaux</w:t>
          </w:r>
          <w:r>
            <w:tab/>
            <w:t>5</w:t>
          </w:r>
        </w:p>
        <w:p w14:paraId="4893539A"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2.12 – Contrôle technique</w:t>
          </w:r>
          <w:r>
            <w:tab/>
            <w:t>5</w:t>
          </w:r>
        </w:p>
        <w:p w14:paraId="56FB293D"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2.13 – Coordination en matière de sécurité et de protection de la santé (CSPS)</w:t>
          </w:r>
          <w:r>
            <w:tab/>
            <w:t>5</w:t>
          </w:r>
        </w:p>
        <w:p w14:paraId="7C69F162" w14:textId="77777777" w:rsidR="00D17097" w:rsidRDefault="00602483">
          <w:pPr>
            <w:pStyle w:val="TM11"/>
            <w:tabs>
              <w:tab w:val="right" w:pos="9061"/>
            </w:tabs>
            <w:rPr>
              <w:rFonts w:asciiTheme="minorHAnsi" w:eastAsiaTheme="minorEastAsia" w:hAnsiTheme="minorHAnsi" w:cstheme="minorBidi"/>
              <w:b w:val="0"/>
              <w:bCs w:val="0"/>
              <w:caps w:val="0"/>
              <w:sz w:val="24"/>
              <w:szCs w:val="24"/>
              <w:u w:val="none"/>
              <w:lang w:eastAsia="ja-JP"/>
            </w:rPr>
          </w:pPr>
          <w:r>
            <w:t>ARTICLE 3 – PROCEDURE</w:t>
          </w:r>
          <w:r>
            <w:tab/>
            <w:t>5</w:t>
          </w:r>
        </w:p>
        <w:p w14:paraId="075E2FD8"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3.1 – Type de procédure</w:t>
          </w:r>
          <w:r>
            <w:tab/>
            <w:t>5</w:t>
          </w:r>
        </w:p>
        <w:p w14:paraId="435E3308"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3.2 – Monnaie</w:t>
          </w:r>
          <w:r>
            <w:tab/>
            <w:t>5</w:t>
          </w:r>
        </w:p>
        <w:p w14:paraId="0FD89147"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3.3 – Langue</w:t>
          </w:r>
          <w:r>
            <w:tab/>
            <w:t>5</w:t>
          </w:r>
        </w:p>
        <w:p w14:paraId="0249FC55" w14:textId="77777777" w:rsidR="00D17097" w:rsidRDefault="00602483">
          <w:pPr>
            <w:pStyle w:val="TM11"/>
            <w:tabs>
              <w:tab w:val="right" w:pos="9061"/>
            </w:tabs>
            <w:rPr>
              <w:rFonts w:asciiTheme="minorHAnsi" w:eastAsiaTheme="minorEastAsia" w:hAnsiTheme="minorHAnsi" w:cstheme="minorBidi"/>
              <w:b w:val="0"/>
              <w:bCs w:val="0"/>
              <w:caps w:val="0"/>
              <w:sz w:val="24"/>
              <w:szCs w:val="24"/>
              <w:u w:val="none"/>
              <w:lang w:eastAsia="ja-JP"/>
            </w:rPr>
          </w:pPr>
          <w:r>
            <w:t>ARTICLE 4 – CONDITIONS RELATIVES AU MARCHE</w:t>
          </w:r>
          <w:r>
            <w:tab/>
            <w:t>5</w:t>
          </w:r>
        </w:p>
        <w:p w14:paraId="6B61EA72"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4.1 – Cautionnement et garanties exigés</w:t>
          </w:r>
          <w:r>
            <w:tab/>
            <w:t>5</w:t>
          </w:r>
        </w:p>
        <w:p w14:paraId="266BFFA5"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rPr>
              <w:rFonts w:cs="Arial"/>
              <w:b w:val="0"/>
              <w:bCs w:val="0"/>
            </w:rPr>
            <w:t>Retenue de</w:t>
          </w:r>
          <w:r>
            <w:t xml:space="preserve"> </w:t>
          </w:r>
          <w:r>
            <w:rPr>
              <w:rFonts w:cs="Arial"/>
              <w:b w:val="0"/>
              <w:bCs w:val="0"/>
            </w:rPr>
            <w:t>Garantie selon les modalités précisées au C.C.A.P.</w:t>
          </w:r>
          <w:r>
            <w:tab/>
            <w:t>5</w:t>
          </w:r>
        </w:p>
        <w:p w14:paraId="183B1A76"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4.2 – Modalités essentielles de financement</w:t>
          </w:r>
          <w:r>
            <w:tab/>
            <w:t>6</w:t>
          </w:r>
        </w:p>
        <w:p w14:paraId="2E72D937"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4.3 – Forme juridique que devra revêtir le groupement d’entrepreneurs, de fournisseurs ou de prestataires de services</w:t>
          </w:r>
          <w:r>
            <w:tab/>
            <w:t>6</w:t>
          </w:r>
        </w:p>
        <w:p w14:paraId="0703DD3D"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4.4 – Sous-traitance</w:t>
          </w:r>
          <w:r>
            <w:tab/>
            <w:t>6</w:t>
          </w:r>
        </w:p>
        <w:p w14:paraId="3A4B20DD"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4.5 – Contenu et caractéristiques du prix</w:t>
          </w:r>
          <w:r>
            <w:tab/>
            <w:t>6</w:t>
          </w:r>
        </w:p>
        <w:p w14:paraId="6F387E7F"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4.6 – Avances</w:t>
          </w:r>
          <w:r>
            <w:tab/>
            <w:t>6</w:t>
          </w:r>
        </w:p>
        <w:p w14:paraId="6559C186"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4.7 – Résiliation du marché</w:t>
          </w:r>
          <w:r>
            <w:tab/>
            <w:t>6</w:t>
          </w:r>
        </w:p>
        <w:p w14:paraId="3F622764" w14:textId="77777777" w:rsidR="00D17097" w:rsidRDefault="00602483">
          <w:pPr>
            <w:pStyle w:val="TM11"/>
            <w:tabs>
              <w:tab w:val="right" w:pos="9061"/>
            </w:tabs>
            <w:rPr>
              <w:rFonts w:asciiTheme="minorHAnsi" w:eastAsiaTheme="minorEastAsia" w:hAnsiTheme="minorHAnsi" w:cstheme="minorBidi"/>
              <w:b w:val="0"/>
              <w:bCs w:val="0"/>
              <w:caps w:val="0"/>
              <w:sz w:val="24"/>
              <w:szCs w:val="24"/>
              <w:u w:val="none"/>
              <w:lang w:eastAsia="ja-JP"/>
            </w:rPr>
          </w:pPr>
          <w:r>
            <w:t>ARTICLE 5 – MODALITES D’OBTENTION DU DOSSIER DE CONSULTATION</w:t>
          </w:r>
          <w:r>
            <w:tab/>
            <w:t>6</w:t>
          </w:r>
        </w:p>
        <w:p w14:paraId="338E0EE1" w14:textId="77777777" w:rsidR="00D17097" w:rsidRDefault="00602483">
          <w:pPr>
            <w:pStyle w:val="TM11"/>
            <w:tabs>
              <w:tab w:val="right" w:pos="9061"/>
            </w:tabs>
            <w:rPr>
              <w:rFonts w:asciiTheme="minorHAnsi" w:eastAsiaTheme="minorEastAsia" w:hAnsiTheme="minorHAnsi" w:cstheme="minorBidi"/>
              <w:b w:val="0"/>
              <w:bCs w:val="0"/>
              <w:caps w:val="0"/>
              <w:sz w:val="24"/>
              <w:szCs w:val="24"/>
              <w:u w:val="none"/>
              <w:lang w:eastAsia="ja-JP"/>
            </w:rPr>
          </w:pPr>
          <w:r>
            <w:t>ARTICLE 6 – CONDITIONS D’ENVOI ET DE REMISE DES OFFRES</w:t>
          </w:r>
          <w:r>
            <w:tab/>
            <w:t>7</w:t>
          </w:r>
        </w:p>
        <w:p w14:paraId="6BDDA8A0" w14:textId="77777777" w:rsidR="00D17097" w:rsidRDefault="00602483">
          <w:pPr>
            <w:pStyle w:val="TM11"/>
            <w:tabs>
              <w:tab w:val="right" w:pos="9061"/>
            </w:tabs>
            <w:rPr>
              <w:rFonts w:asciiTheme="minorHAnsi" w:eastAsiaTheme="minorEastAsia" w:hAnsiTheme="minorHAnsi" w:cstheme="minorBidi"/>
              <w:b w:val="0"/>
              <w:bCs w:val="0"/>
              <w:caps w:val="0"/>
              <w:sz w:val="24"/>
              <w:szCs w:val="24"/>
              <w:u w:val="none"/>
              <w:lang w:eastAsia="ja-JP"/>
            </w:rPr>
          </w:pPr>
          <w:r>
            <w:t>ARTICLE 7 – COMPOSITION DES OFFRES</w:t>
          </w:r>
          <w:r>
            <w:tab/>
            <w:t>8</w:t>
          </w:r>
        </w:p>
        <w:p w14:paraId="319AE8A1"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7.1 –  Les justifications à produire quant aux qualités et capacités du candidat</w:t>
          </w:r>
          <w:r>
            <w:tab/>
            <w:t>8</w:t>
          </w:r>
        </w:p>
        <w:p w14:paraId="1EDB2E8C"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7.2 –  Pièces relatives à l’offre proprement dite</w:t>
          </w:r>
          <w:r>
            <w:tab/>
            <w:t>9</w:t>
          </w:r>
        </w:p>
        <w:p w14:paraId="59958454" w14:textId="77777777" w:rsidR="00D17097" w:rsidRDefault="00602483">
          <w:pPr>
            <w:pStyle w:val="TM11"/>
            <w:tabs>
              <w:tab w:val="right" w:pos="9061"/>
            </w:tabs>
            <w:rPr>
              <w:rFonts w:asciiTheme="minorHAnsi" w:eastAsiaTheme="minorEastAsia" w:hAnsiTheme="minorHAnsi" w:cstheme="minorBidi"/>
              <w:b w:val="0"/>
              <w:bCs w:val="0"/>
              <w:caps w:val="0"/>
              <w:sz w:val="24"/>
              <w:szCs w:val="24"/>
              <w:u w:val="none"/>
              <w:lang w:eastAsia="ja-JP"/>
            </w:rPr>
          </w:pPr>
          <w:r>
            <w:lastRenderedPageBreak/>
            <w:t>ARTICLE 8 – CRITERES DE SELECTION</w:t>
          </w:r>
          <w:r>
            <w:tab/>
            <w:t>9</w:t>
          </w:r>
        </w:p>
        <w:p w14:paraId="580271B1"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8.1 - Critères de sélection des candidatures</w:t>
          </w:r>
          <w:r>
            <w:tab/>
            <w:t>9</w:t>
          </w:r>
        </w:p>
        <w:p w14:paraId="70D071B5"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8.2 – Critères d’attribution</w:t>
          </w:r>
          <w:r>
            <w:tab/>
            <w:t>9</w:t>
          </w:r>
        </w:p>
        <w:p w14:paraId="07A727DD"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8.3 – Négociation</w:t>
          </w:r>
          <w:r>
            <w:tab/>
            <w:t>10</w:t>
          </w:r>
        </w:p>
        <w:p w14:paraId="32B10D8C"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8.4 – Visite du site</w:t>
          </w:r>
          <w:r>
            <w:tab/>
            <w:t>10</w:t>
          </w:r>
        </w:p>
        <w:p w14:paraId="4D61798B" w14:textId="77777777" w:rsidR="00D17097" w:rsidRDefault="00602483">
          <w:pPr>
            <w:pStyle w:val="TM11"/>
            <w:tabs>
              <w:tab w:val="right" w:pos="9061"/>
            </w:tabs>
            <w:rPr>
              <w:rFonts w:asciiTheme="minorHAnsi" w:eastAsiaTheme="minorEastAsia" w:hAnsiTheme="minorHAnsi" w:cstheme="minorBidi"/>
              <w:b w:val="0"/>
              <w:bCs w:val="0"/>
              <w:caps w:val="0"/>
              <w:sz w:val="24"/>
              <w:szCs w:val="24"/>
              <w:u w:val="none"/>
              <w:lang w:eastAsia="ja-JP"/>
            </w:rPr>
          </w:pPr>
          <w:r>
            <w:t>ARTICLE 9 – RENSEIGNEMENTS DIVERS</w:t>
          </w:r>
          <w:r>
            <w:tab/>
            <w:t>10</w:t>
          </w:r>
        </w:p>
        <w:p w14:paraId="2F80A07D"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9.1 – Contenu du Dossier de Consultation des Entreprises (DCE)</w:t>
          </w:r>
          <w:r>
            <w:tab/>
            <w:t>10</w:t>
          </w:r>
        </w:p>
        <w:p w14:paraId="7499B0D3"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9.2 – Renseignements complémentaires</w:t>
          </w:r>
          <w:r>
            <w:tab/>
            <w:t>10</w:t>
          </w:r>
        </w:p>
        <w:p w14:paraId="4721918D" w14:textId="77777777" w:rsidR="00D17097" w:rsidRDefault="00602483">
          <w:pPr>
            <w:pStyle w:val="TM21"/>
            <w:tabs>
              <w:tab w:val="right" w:pos="9061"/>
            </w:tabs>
            <w:rPr>
              <w:rFonts w:asciiTheme="minorHAnsi" w:eastAsiaTheme="minorEastAsia" w:hAnsiTheme="minorHAnsi" w:cstheme="minorBidi"/>
              <w:b w:val="0"/>
              <w:bCs w:val="0"/>
              <w:smallCaps w:val="0"/>
              <w:sz w:val="24"/>
              <w:szCs w:val="24"/>
              <w:lang w:eastAsia="ja-JP"/>
            </w:rPr>
          </w:pPr>
          <w:r>
            <w:t>9.3 - Procédures de recours</w:t>
          </w:r>
          <w:r>
            <w:tab/>
            <w:t>10</w:t>
          </w:r>
        </w:p>
        <w:p w14:paraId="6DD9B4A6" w14:textId="77777777" w:rsidR="00D17097" w:rsidRDefault="00602483">
          <w:pPr>
            <w:ind w:right="282"/>
            <w:rPr>
              <w:rFonts w:ascii="Arial" w:hAnsi="Arial" w:cs="Arial"/>
              <w:b/>
              <w:color w:val="000000"/>
              <w:sz w:val="24"/>
            </w:rPr>
          </w:pPr>
          <w:r>
            <w:rPr>
              <w:rFonts w:ascii="Arial" w:hAnsi="Arial" w:cs="Arial"/>
              <w:b/>
              <w:sz w:val="24"/>
            </w:rPr>
            <w:fldChar w:fldCharType="end"/>
          </w:r>
        </w:p>
        <w:p w14:paraId="53F429C2" w14:textId="77777777" w:rsidR="00D17097" w:rsidRDefault="00D90908">
          <w:pPr>
            <w:sectPr w:rsidR="00D17097">
              <w:type w:val="continuous"/>
              <w:pgSz w:w="11906" w:h="16838"/>
              <w:pgMar w:top="851" w:right="1418" w:bottom="1418" w:left="1418" w:header="720" w:footer="720" w:gutter="0"/>
              <w:cols w:space="720"/>
              <w:formProt w:val="0"/>
              <w:docGrid w:linePitch="100" w:charSpace="8192"/>
            </w:sectPr>
          </w:pPr>
        </w:p>
      </w:sdtContent>
    </w:sdt>
    <w:p w14:paraId="58F2CF37" w14:textId="77777777" w:rsidR="00D17097" w:rsidRDefault="00D17097">
      <w:pPr>
        <w:ind w:right="282"/>
        <w:rPr>
          <w:rFonts w:ascii="Arial" w:hAnsi="Arial" w:cs="Arial"/>
          <w:b/>
          <w:color w:val="000000"/>
          <w:sz w:val="24"/>
        </w:rPr>
      </w:pPr>
    </w:p>
    <w:p w14:paraId="760465B7" w14:textId="77777777" w:rsidR="00D17097" w:rsidRDefault="00D17097">
      <w:pPr>
        <w:jc w:val="center"/>
        <w:rPr>
          <w:rFonts w:ascii="Arial" w:hAnsi="Arial" w:cs="Arial"/>
          <w:b/>
          <w:sz w:val="24"/>
        </w:rPr>
      </w:pPr>
    </w:p>
    <w:p w14:paraId="21BF1D89" w14:textId="77777777" w:rsidR="00D17097" w:rsidRDefault="00D17097">
      <w:pPr>
        <w:rPr>
          <w:rFonts w:ascii="Arial" w:hAnsi="Arial" w:cs="Arial"/>
          <w:color w:val="548DD4"/>
          <w:sz w:val="22"/>
          <w:szCs w:val="22"/>
        </w:rPr>
      </w:pPr>
    </w:p>
    <w:p w14:paraId="3BDCD495" w14:textId="77777777" w:rsidR="00D17097" w:rsidRDefault="00D17097">
      <w:pPr>
        <w:rPr>
          <w:rFonts w:ascii="Arial" w:hAnsi="Arial" w:cs="Arial"/>
          <w:color w:val="548DD4"/>
          <w:sz w:val="22"/>
          <w:szCs w:val="22"/>
        </w:rPr>
      </w:pPr>
    </w:p>
    <w:p w14:paraId="21D41A5E" w14:textId="77777777" w:rsidR="00D17097" w:rsidRDefault="00D17097">
      <w:pPr>
        <w:rPr>
          <w:rFonts w:ascii="Arial" w:hAnsi="Arial" w:cs="Arial"/>
          <w:color w:val="548DD4"/>
          <w:sz w:val="22"/>
          <w:szCs w:val="22"/>
        </w:rPr>
      </w:pPr>
    </w:p>
    <w:p w14:paraId="61045180" w14:textId="77777777" w:rsidR="00D17097" w:rsidRDefault="00D17097">
      <w:pPr>
        <w:rPr>
          <w:rFonts w:ascii="Arial" w:hAnsi="Arial" w:cs="Arial"/>
          <w:color w:val="548DD4"/>
          <w:sz w:val="22"/>
          <w:szCs w:val="22"/>
        </w:rPr>
      </w:pPr>
    </w:p>
    <w:p w14:paraId="7DB79508" w14:textId="77777777" w:rsidR="00D17097" w:rsidRDefault="00D17097">
      <w:pPr>
        <w:rPr>
          <w:rFonts w:ascii="Arial" w:hAnsi="Arial" w:cs="Arial"/>
          <w:color w:val="548DD4"/>
          <w:sz w:val="22"/>
          <w:szCs w:val="22"/>
        </w:rPr>
      </w:pPr>
    </w:p>
    <w:p w14:paraId="06DD4594" w14:textId="77777777" w:rsidR="00D17097" w:rsidRDefault="00D17097">
      <w:pPr>
        <w:rPr>
          <w:rFonts w:ascii="Arial" w:hAnsi="Arial" w:cs="Arial"/>
          <w:color w:val="548DD4"/>
          <w:sz w:val="22"/>
          <w:szCs w:val="22"/>
        </w:rPr>
      </w:pPr>
    </w:p>
    <w:p w14:paraId="71C2E101" w14:textId="77777777" w:rsidR="00D17097" w:rsidRDefault="00D17097">
      <w:pPr>
        <w:rPr>
          <w:rFonts w:ascii="Arial" w:hAnsi="Arial" w:cs="Arial"/>
          <w:color w:val="548DD4"/>
          <w:sz w:val="22"/>
          <w:szCs w:val="22"/>
        </w:rPr>
      </w:pPr>
    </w:p>
    <w:p w14:paraId="5C3EE3F0" w14:textId="77777777" w:rsidR="00D17097" w:rsidRDefault="00D17097">
      <w:pPr>
        <w:rPr>
          <w:rFonts w:ascii="Arial" w:hAnsi="Arial" w:cs="Arial"/>
          <w:color w:val="548DD4"/>
          <w:sz w:val="22"/>
          <w:szCs w:val="22"/>
        </w:rPr>
      </w:pPr>
    </w:p>
    <w:p w14:paraId="73BB62B3" w14:textId="77777777" w:rsidR="00D17097" w:rsidRDefault="00D17097">
      <w:pPr>
        <w:rPr>
          <w:rFonts w:ascii="Arial" w:hAnsi="Arial" w:cs="Arial"/>
          <w:color w:val="548DD4"/>
          <w:sz w:val="22"/>
          <w:szCs w:val="22"/>
        </w:rPr>
      </w:pPr>
    </w:p>
    <w:p w14:paraId="76C6582C" w14:textId="77777777" w:rsidR="00D17097" w:rsidRDefault="00D17097">
      <w:pPr>
        <w:rPr>
          <w:rFonts w:ascii="Arial" w:hAnsi="Arial" w:cs="Arial"/>
          <w:color w:val="548DD4"/>
          <w:sz w:val="22"/>
          <w:szCs w:val="22"/>
        </w:rPr>
      </w:pPr>
    </w:p>
    <w:p w14:paraId="32318699" w14:textId="77777777" w:rsidR="00D17097" w:rsidRDefault="00D17097">
      <w:pPr>
        <w:rPr>
          <w:rFonts w:ascii="Arial" w:hAnsi="Arial" w:cs="Arial"/>
          <w:color w:val="548DD4"/>
          <w:sz w:val="22"/>
          <w:szCs w:val="22"/>
        </w:rPr>
      </w:pPr>
    </w:p>
    <w:p w14:paraId="310563BD" w14:textId="77777777" w:rsidR="00D17097" w:rsidRDefault="00D17097">
      <w:pPr>
        <w:rPr>
          <w:rFonts w:ascii="Arial" w:hAnsi="Arial" w:cs="Arial"/>
          <w:color w:val="548DD4"/>
          <w:sz w:val="22"/>
          <w:szCs w:val="22"/>
        </w:rPr>
      </w:pPr>
    </w:p>
    <w:p w14:paraId="36D0206E" w14:textId="77777777" w:rsidR="00D17097" w:rsidRDefault="00D17097">
      <w:pPr>
        <w:rPr>
          <w:rFonts w:ascii="Arial" w:hAnsi="Arial" w:cs="Arial"/>
          <w:color w:val="548DD4"/>
          <w:sz w:val="22"/>
          <w:szCs w:val="22"/>
        </w:rPr>
      </w:pPr>
    </w:p>
    <w:p w14:paraId="6978DC79" w14:textId="77777777" w:rsidR="00D17097" w:rsidRDefault="00D17097">
      <w:pPr>
        <w:rPr>
          <w:rFonts w:ascii="Arial" w:hAnsi="Arial" w:cs="Arial"/>
          <w:color w:val="548DD4"/>
          <w:sz w:val="22"/>
          <w:szCs w:val="22"/>
        </w:rPr>
      </w:pPr>
    </w:p>
    <w:p w14:paraId="5CAEF6DB" w14:textId="77777777" w:rsidR="00D17097" w:rsidRDefault="00D17097">
      <w:pPr>
        <w:rPr>
          <w:rFonts w:ascii="Arial" w:hAnsi="Arial" w:cs="Arial"/>
          <w:color w:val="548DD4"/>
          <w:sz w:val="22"/>
          <w:szCs w:val="22"/>
        </w:rPr>
      </w:pPr>
    </w:p>
    <w:p w14:paraId="3F4114C9" w14:textId="77777777" w:rsidR="00D17097" w:rsidRDefault="00D17097">
      <w:pPr>
        <w:rPr>
          <w:rFonts w:ascii="Arial" w:hAnsi="Arial" w:cs="Arial"/>
          <w:color w:val="548DD4"/>
          <w:sz w:val="22"/>
          <w:szCs w:val="22"/>
        </w:rPr>
      </w:pPr>
    </w:p>
    <w:p w14:paraId="3EC74C12" w14:textId="77777777" w:rsidR="00D17097" w:rsidRDefault="00D17097">
      <w:pPr>
        <w:rPr>
          <w:rFonts w:ascii="Arial" w:hAnsi="Arial" w:cs="Arial"/>
          <w:color w:val="548DD4"/>
          <w:sz w:val="22"/>
          <w:szCs w:val="22"/>
        </w:rPr>
      </w:pPr>
    </w:p>
    <w:p w14:paraId="7EBE1B56" w14:textId="77777777" w:rsidR="00D17097" w:rsidRDefault="00D17097">
      <w:pPr>
        <w:rPr>
          <w:rFonts w:ascii="Arial" w:hAnsi="Arial" w:cs="Arial"/>
          <w:color w:val="548DD4"/>
          <w:sz w:val="22"/>
          <w:szCs w:val="22"/>
        </w:rPr>
      </w:pPr>
    </w:p>
    <w:p w14:paraId="5E2BB969" w14:textId="77777777" w:rsidR="00D17097" w:rsidRDefault="00D17097">
      <w:pPr>
        <w:rPr>
          <w:rFonts w:ascii="Arial" w:hAnsi="Arial" w:cs="Arial"/>
          <w:color w:val="548DD4"/>
          <w:sz w:val="22"/>
          <w:szCs w:val="22"/>
        </w:rPr>
      </w:pPr>
    </w:p>
    <w:p w14:paraId="4E74E50F" w14:textId="77777777" w:rsidR="00D17097" w:rsidRDefault="00D17097">
      <w:pPr>
        <w:rPr>
          <w:rFonts w:ascii="Arial" w:hAnsi="Arial" w:cs="Arial"/>
          <w:color w:val="548DD4"/>
          <w:sz w:val="22"/>
          <w:szCs w:val="22"/>
        </w:rPr>
      </w:pPr>
    </w:p>
    <w:p w14:paraId="75844A36" w14:textId="77777777" w:rsidR="00D17097" w:rsidRDefault="00D17097">
      <w:pPr>
        <w:rPr>
          <w:rFonts w:ascii="Arial" w:hAnsi="Arial" w:cs="Arial"/>
          <w:color w:val="548DD4"/>
          <w:sz w:val="22"/>
          <w:szCs w:val="22"/>
        </w:rPr>
      </w:pPr>
    </w:p>
    <w:p w14:paraId="6F1FEAAE" w14:textId="77777777" w:rsidR="00D17097" w:rsidRDefault="00D17097">
      <w:pPr>
        <w:rPr>
          <w:rFonts w:ascii="Arial" w:hAnsi="Arial" w:cs="Arial"/>
          <w:color w:val="548DD4"/>
          <w:sz w:val="22"/>
          <w:szCs w:val="22"/>
        </w:rPr>
      </w:pPr>
    </w:p>
    <w:p w14:paraId="367B1929" w14:textId="77777777" w:rsidR="00D17097" w:rsidRDefault="00D17097">
      <w:pPr>
        <w:rPr>
          <w:rFonts w:ascii="Arial" w:hAnsi="Arial" w:cs="Arial"/>
          <w:color w:val="548DD4"/>
          <w:sz w:val="22"/>
          <w:szCs w:val="22"/>
        </w:rPr>
      </w:pPr>
    </w:p>
    <w:p w14:paraId="2B810ECA" w14:textId="77777777" w:rsidR="00D17097" w:rsidRDefault="00602483">
      <w:pPr>
        <w:rPr>
          <w:rFonts w:ascii="Arial" w:hAnsi="Arial" w:cs="Arial"/>
          <w:color w:val="548DD4"/>
          <w:sz w:val="22"/>
          <w:szCs w:val="22"/>
        </w:rPr>
      </w:pPr>
      <w:r>
        <w:br w:type="page"/>
      </w:r>
    </w:p>
    <w:p w14:paraId="11212D82" w14:textId="77777777" w:rsidR="00D17097" w:rsidRDefault="00D17097">
      <w:pPr>
        <w:rPr>
          <w:rFonts w:ascii="Arial" w:hAnsi="Arial" w:cs="Arial"/>
          <w:color w:val="548DD4"/>
          <w:sz w:val="22"/>
          <w:szCs w:val="22"/>
        </w:rPr>
      </w:pPr>
    </w:p>
    <w:p w14:paraId="40DB8AB3" w14:textId="77777777" w:rsidR="00D17097" w:rsidRDefault="00D17097">
      <w:pPr>
        <w:pStyle w:val="En-tte1"/>
        <w:tabs>
          <w:tab w:val="clear" w:pos="4536"/>
          <w:tab w:val="clear" w:pos="9072"/>
        </w:tabs>
        <w:jc w:val="center"/>
        <w:rPr>
          <w:rFonts w:ascii="Arial" w:hAnsi="Arial" w:cs="Arial"/>
          <w:b/>
          <w:sz w:val="22"/>
        </w:rPr>
      </w:pPr>
    </w:p>
    <w:p w14:paraId="4164D0E4" w14:textId="77777777" w:rsidR="00D17097" w:rsidRDefault="00602483">
      <w:pPr>
        <w:pStyle w:val="Titre11"/>
      </w:pPr>
      <w:bookmarkStart w:id="0" w:name="_Toc464134949"/>
      <w:r>
        <w:t>ARTICLE 1 – ACHETEUR</w:t>
      </w:r>
      <w:bookmarkEnd w:id="0"/>
      <w:r>
        <w:t xml:space="preserve">                                                                                                                                                                                              </w:t>
      </w:r>
    </w:p>
    <w:p w14:paraId="53AE88D4" w14:textId="77777777" w:rsidR="00D17097" w:rsidRDefault="00D17097">
      <w:pPr>
        <w:pStyle w:val="En-tte1"/>
        <w:tabs>
          <w:tab w:val="clear" w:pos="4536"/>
          <w:tab w:val="clear" w:pos="9072"/>
        </w:tabs>
        <w:rPr>
          <w:rFonts w:ascii="Arial" w:hAnsi="Arial" w:cs="Arial"/>
          <w:b/>
        </w:rPr>
      </w:pPr>
    </w:p>
    <w:p w14:paraId="69C40A39" w14:textId="77777777" w:rsidR="00D17097" w:rsidRDefault="00602483">
      <w:pPr>
        <w:spacing w:after="120"/>
        <w:ind w:left="709"/>
        <w:jc w:val="both"/>
        <w:rPr>
          <w:rFonts w:ascii="Arial" w:hAnsi="Arial" w:cs="Arial"/>
        </w:rPr>
      </w:pPr>
      <w:r>
        <w:rPr>
          <w:rFonts w:ascii="Arial" w:hAnsi="Arial" w:cs="Arial"/>
          <w:b/>
        </w:rPr>
        <w:t xml:space="preserve">Type d’acheteur : </w:t>
      </w:r>
      <w:r>
        <w:rPr>
          <w:rFonts w:ascii="Arial" w:hAnsi="Arial" w:cs="Arial"/>
        </w:rPr>
        <w:t>Mairie</w:t>
      </w:r>
    </w:p>
    <w:p w14:paraId="20C92B6A" w14:textId="77777777" w:rsidR="00D17097" w:rsidRDefault="00602483">
      <w:pPr>
        <w:ind w:left="709"/>
        <w:jc w:val="both"/>
        <w:rPr>
          <w:rFonts w:ascii="Arial" w:hAnsi="Arial" w:cs="Arial"/>
          <w:b/>
        </w:rPr>
      </w:pPr>
      <w:r>
        <w:rPr>
          <w:rFonts w:ascii="Arial" w:hAnsi="Arial" w:cs="Arial"/>
          <w:b/>
        </w:rPr>
        <w:t>Personne Publique / Pouvoir adjudicateur</w:t>
      </w:r>
    </w:p>
    <w:p w14:paraId="60933AE7" w14:textId="77777777" w:rsidR="00D17097" w:rsidRDefault="00D17097">
      <w:pPr>
        <w:ind w:left="709"/>
        <w:jc w:val="both"/>
        <w:rPr>
          <w:rFonts w:ascii="Arial" w:hAnsi="Arial" w:cs="Arial"/>
        </w:rPr>
      </w:pPr>
    </w:p>
    <w:p w14:paraId="0B478F01" w14:textId="44694F91" w:rsidR="00D17097" w:rsidRDefault="00602483">
      <w:pPr>
        <w:ind w:left="709"/>
        <w:jc w:val="both"/>
        <w:rPr>
          <w:rFonts w:ascii="Arial" w:hAnsi="Arial" w:cs="Arial"/>
        </w:rPr>
      </w:pPr>
      <w:r>
        <w:rPr>
          <w:rFonts w:ascii="Arial" w:hAnsi="Arial" w:cs="Arial"/>
        </w:rPr>
        <w:t>Mairie d</w:t>
      </w:r>
      <w:r w:rsidR="003B4D50">
        <w:rPr>
          <w:rFonts w:ascii="Arial" w:hAnsi="Arial" w:cs="Arial"/>
        </w:rPr>
        <w:t>u Cateau Cambrésis</w:t>
      </w:r>
    </w:p>
    <w:p w14:paraId="5345E018" w14:textId="40D0B372" w:rsidR="00D17097" w:rsidRDefault="003B4D50">
      <w:pPr>
        <w:ind w:left="709"/>
        <w:jc w:val="both"/>
        <w:rPr>
          <w:rFonts w:ascii="Arial" w:hAnsi="Arial" w:cs="Arial"/>
        </w:rPr>
      </w:pPr>
      <w:r>
        <w:rPr>
          <w:rFonts w:ascii="Arial" w:hAnsi="Arial" w:cs="Arial"/>
        </w:rPr>
        <w:t>1</w:t>
      </w:r>
      <w:r w:rsidR="00602483">
        <w:rPr>
          <w:rFonts w:ascii="Arial" w:hAnsi="Arial" w:cs="Arial"/>
        </w:rPr>
        <w:t xml:space="preserve">, </w:t>
      </w:r>
      <w:r>
        <w:rPr>
          <w:rFonts w:ascii="Arial" w:hAnsi="Arial" w:cs="Arial"/>
        </w:rPr>
        <w:t>Rue Victor Hugo</w:t>
      </w:r>
    </w:p>
    <w:p w14:paraId="3AB2E48B" w14:textId="2A72AD2F" w:rsidR="00D17097" w:rsidRDefault="003B4D50">
      <w:pPr>
        <w:ind w:left="709"/>
        <w:jc w:val="both"/>
        <w:rPr>
          <w:rFonts w:ascii="Arial" w:hAnsi="Arial" w:cs="Arial"/>
        </w:rPr>
      </w:pPr>
      <w:r>
        <w:rPr>
          <w:rFonts w:ascii="Arial" w:hAnsi="Arial" w:cs="Arial"/>
        </w:rPr>
        <w:t>59 360</w:t>
      </w:r>
      <w:r w:rsidR="00602483">
        <w:rPr>
          <w:rFonts w:ascii="Arial" w:hAnsi="Arial" w:cs="Arial"/>
        </w:rPr>
        <w:t xml:space="preserve"> </w:t>
      </w:r>
      <w:r>
        <w:rPr>
          <w:rFonts w:ascii="Arial" w:hAnsi="Arial" w:cs="Arial"/>
        </w:rPr>
        <w:t>LE CATEAU CAMBRÉSIS</w:t>
      </w:r>
    </w:p>
    <w:p w14:paraId="7BF66A94" w14:textId="77777777" w:rsidR="00D17097" w:rsidRDefault="00D17097">
      <w:pPr>
        <w:ind w:left="709"/>
        <w:jc w:val="both"/>
        <w:rPr>
          <w:rFonts w:ascii="Arial" w:hAnsi="Arial" w:cs="Arial"/>
        </w:rPr>
      </w:pPr>
    </w:p>
    <w:p w14:paraId="3763B7E9" w14:textId="77777777" w:rsidR="00D17097" w:rsidRDefault="00D17097">
      <w:pPr>
        <w:jc w:val="both"/>
        <w:rPr>
          <w:rFonts w:ascii="Arial" w:hAnsi="Arial" w:cs="Arial"/>
          <w:sz w:val="16"/>
          <w:szCs w:val="16"/>
        </w:rPr>
      </w:pPr>
    </w:p>
    <w:p w14:paraId="07934123" w14:textId="5CBB4B09" w:rsidR="00D17097" w:rsidRDefault="00602483">
      <w:pPr>
        <w:ind w:left="709"/>
        <w:jc w:val="both"/>
        <w:rPr>
          <w:rFonts w:ascii="Arial" w:hAnsi="Arial" w:cs="Arial"/>
        </w:rPr>
      </w:pPr>
      <w:r>
        <w:rPr>
          <w:rFonts w:ascii="Arial" w:hAnsi="Arial" w:cs="Arial"/>
          <w:b/>
        </w:rPr>
        <w:t xml:space="preserve">Représentant du pouvoir adjudicateur : </w:t>
      </w:r>
      <w:r w:rsidR="003B4D50">
        <w:rPr>
          <w:rFonts w:ascii="Arial" w:hAnsi="Arial" w:cs="Arial"/>
        </w:rPr>
        <w:t>Monsieur le Maire du Cateau Cambrésis</w:t>
      </w:r>
    </w:p>
    <w:p w14:paraId="373686E0" w14:textId="77777777" w:rsidR="00D17097" w:rsidRDefault="00D17097">
      <w:pPr>
        <w:rPr>
          <w:highlight w:val="lightGray"/>
        </w:rPr>
      </w:pPr>
    </w:p>
    <w:p w14:paraId="41E10AD4" w14:textId="77777777" w:rsidR="00D17097" w:rsidRDefault="00602483">
      <w:pPr>
        <w:pStyle w:val="Titre11"/>
      </w:pPr>
      <w:bookmarkStart w:id="1" w:name="_Toc464134950"/>
      <w:r>
        <w:t>ARTICLE 2 – OBJET DU MARCHE</w:t>
      </w:r>
      <w:bookmarkEnd w:id="1"/>
    </w:p>
    <w:p w14:paraId="71693D7B" w14:textId="77777777" w:rsidR="00D17097" w:rsidRDefault="00D17097">
      <w:pPr>
        <w:pStyle w:val="En-tte1"/>
        <w:tabs>
          <w:tab w:val="clear" w:pos="4536"/>
          <w:tab w:val="clear" w:pos="9072"/>
        </w:tabs>
        <w:jc w:val="both"/>
        <w:rPr>
          <w:rFonts w:ascii="Arial" w:hAnsi="Arial" w:cs="Arial"/>
          <w:sz w:val="16"/>
          <w:szCs w:val="16"/>
        </w:rPr>
      </w:pPr>
    </w:p>
    <w:p w14:paraId="6D68890C" w14:textId="77777777" w:rsidR="00D17097" w:rsidRDefault="00D17097">
      <w:pPr>
        <w:pStyle w:val="En-tte1"/>
        <w:tabs>
          <w:tab w:val="clear" w:pos="4536"/>
          <w:tab w:val="clear" w:pos="9072"/>
        </w:tabs>
        <w:jc w:val="both"/>
        <w:rPr>
          <w:rFonts w:ascii="Arial" w:hAnsi="Arial" w:cs="Arial"/>
          <w:sz w:val="16"/>
          <w:szCs w:val="16"/>
        </w:rPr>
      </w:pPr>
    </w:p>
    <w:p w14:paraId="5E5E8AD1" w14:textId="77777777" w:rsidR="00D17097" w:rsidRDefault="00602483">
      <w:pPr>
        <w:pStyle w:val="Titre21"/>
      </w:pPr>
      <w:bookmarkStart w:id="2" w:name="_Toc464134951"/>
      <w:r>
        <w:t>2.1 – Objet du marché</w:t>
      </w:r>
      <w:bookmarkEnd w:id="2"/>
    </w:p>
    <w:p w14:paraId="6C005EB2" w14:textId="77777777" w:rsidR="00D17097" w:rsidRDefault="00D17097">
      <w:pPr>
        <w:pStyle w:val="En-tte1"/>
        <w:tabs>
          <w:tab w:val="clear" w:pos="4536"/>
          <w:tab w:val="clear" w:pos="9072"/>
        </w:tabs>
        <w:jc w:val="both"/>
        <w:rPr>
          <w:rFonts w:ascii="Arial" w:hAnsi="Arial" w:cs="Arial"/>
        </w:rPr>
      </w:pPr>
    </w:p>
    <w:p w14:paraId="653DCCA5" w14:textId="156C2B85" w:rsidR="00D17097" w:rsidRDefault="00602483">
      <w:pPr>
        <w:pStyle w:val="Default"/>
        <w:jc w:val="both"/>
        <w:rPr>
          <w:color w:val="auto"/>
          <w:sz w:val="20"/>
          <w:szCs w:val="20"/>
        </w:rPr>
      </w:pPr>
      <w:r>
        <w:rPr>
          <w:color w:val="auto"/>
          <w:sz w:val="20"/>
          <w:szCs w:val="20"/>
        </w:rPr>
        <w:t>Les dispositions du présent document concernent la réalisation de travaux d'aménagement</w:t>
      </w:r>
      <w:r w:rsidR="003B4D50">
        <w:rPr>
          <w:color w:val="auto"/>
          <w:sz w:val="20"/>
          <w:szCs w:val="20"/>
        </w:rPr>
        <w:t xml:space="preserve"> du site de l'Arboretum</w:t>
      </w:r>
      <w:r>
        <w:rPr>
          <w:color w:val="auto"/>
          <w:sz w:val="20"/>
          <w:szCs w:val="20"/>
        </w:rPr>
        <w:t>.</w:t>
      </w:r>
    </w:p>
    <w:p w14:paraId="0EE0CB0F" w14:textId="77777777" w:rsidR="00D17097" w:rsidRDefault="00D17097">
      <w:pPr>
        <w:pStyle w:val="Default"/>
        <w:jc w:val="both"/>
        <w:rPr>
          <w:color w:val="auto"/>
          <w:sz w:val="20"/>
          <w:szCs w:val="20"/>
        </w:rPr>
      </w:pPr>
    </w:p>
    <w:p w14:paraId="60DAAE40" w14:textId="77777777" w:rsidR="00D17097" w:rsidRDefault="00602483">
      <w:pPr>
        <w:pStyle w:val="Default"/>
        <w:jc w:val="both"/>
        <w:rPr>
          <w:color w:val="auto"/>
          <w:sz w:val="20"/>
          <w:szCs w:val="20"/>
        </w:rPr>
      </w:pPr>
      <w:r>
        <w:rPr>
          <w:color w:val="auto"/>
          <w:sz w:val="20"/>
          <w:szCs w:val="20"/>
        </w:rPr>
        <w:t>La description des travaux et leurs spécifications techniques sont indiquées dans le cahier des clauses techniques particulières (CCTP).</w:t>
      </w:r>
    </w:p>
    <w:p w14:paraId="405BC91B" w14:textId="77777777" w:rsidR="00D17097" w:rsidRDefault="00D17097">
      <w:pPr>
        <w:jc w:val="both"/>
        <w:rPr>
          <w:rFonts w:ascii="Arial" w:hAnsi="Arial" w:cs="Arial"/>
        </w:rPr>
      </w:pPr>
    </w:p>
    <w:p w14:paraId="1C3EF451" w14:textId="77777777" w:rsidR="00D17097" w:rsidRDefault="00D17097">
      <w:pPr>
        <w:ind w:left="709"/>
        <w:jc w:val="both"/>
        <w:rPr>
          <w:rFonts w:ascii="Arial" w:hAnsi="Arial" w:cs="Arial"/>
        </w:rPr>
      </w:pPr>
    </w:p>
    <w:p w14:paraId="362F834B" w14:textId="77777777" w:rsidR="00D17097" w:rsidRDefault="00602483">
      <w:pPr>
        <w:pStyle w:val="Titre21"/>
      </w:pPr>
      <w:bookmarkStart w:id="3" w:name="_Toc464134952"/>
      <w:r>
        <w:t>2.2 – Type de marché</w:t>
      </w:r>
      <w:bookmarkEnd w:id="3"/>
      <w:r>
        <w:t> </w:t>
      </w:r>
    </w:p>
    <w:p w14:paraId="57CCB31B" w14:textId="77777777" w:rsidR="00D17097" w:rsidRDefault="00D17097">
      <w:pPr>
        <w:pStyle w:val="En-tte1"/>
        <w:tabs>
          <w:tab w:val="clear" w:pos="4536"/>
          <w:tab w:val="clear" w:pos="9072"/>
        </w:tabs>
        <w:jc w:val="both"/>
        <w:rPr>
          <w:rFonts w:ascii="Arial" w:hAnsi="Arial" w:cs="Arial"/>
          <w:sz w:val="16"/>
          <w:szCs w:val="16"/>
        </w:rPr>
      </w:pPr>
    </w:p>
    <w:p w14:paraId="62FFEAFF" w14:textId="77777777" w:rsidR="00D17097" w:rsidRDefault="00602483">
      <w:pPr>
        <w:pStyle w:val="En-tte1"/>
        <w:tabs>
          <w:tab w:val="clear" w:pos="4536"/>
          <w:tab w:val="clear" w:pos="9072"/>
        </w:tabs>
        <w:ind w:firstLine="708"/>
        <w:jc w:val="both"/>
        <w:rPr>
          <w:rFonts w:ascii="Arial" w:hAnsi="Arial" w:cs="Arial"/>
        </w:rPr>
      </w:pPr>
      <w:r>
        <w:rPr>
          <w:rFonts w:ascii="Arial" w:hAnsi="Arial" w:cs="Arial"/>
        </w:rPr>
        <w:t>Marché de Travaux.</w:t>
      </w:r>
    </w:p>
    <w:p w14:paraId="0EE730D3" w14:textId="77777777" w:rsidR="00D17097" w:rsidRDefault="00D17097">
      <w:pPr>
        <w:jc w:val="both"/>
        <w:rPr>
          <w:rFonts w:ascii="Arial" w:hAnsi="Arial" w:cs="Arial"/>
          <w:sz w:val="16"/>
          <w:szCs w:val="16"/>
        </w:rPr>
      </w:pPr>
    </w:p>
    <w:p w14:paraId="5648CF9D" w14:textId="77777777" w:rsidR="00D17097" w:rsidRDefault="00602483">
      <w:pPr>
        <w:pStyle w:val="Titre21"/>
      </w:pPr>
      <w:bookmarkStart w:id="4" w:name="_Toc464134953"/>
      <w:r>
        <w:t>2.3 – Forme du marché</w:t>
      </w:r>
      <w:bookmarkEnd w:id="4"/>
      <w:r>
        <w:t> </w:t>
      </w:r>
    </w:p>
    <w:p w14:paraId="4251A662" w14:textId="77777777" w:rsidR="00D17097" w:rsidRDefault="00D17097">
      <w:pPr>
        <w:jc w:val="both"/>
        <w:rPr>
          <w:rFonts w:ascii="Arial" w:hAnsi="Arial" w:cs="Arial"/>
          <w:sz w:val="16"/>
          <w:szCs w:val="16"/>
        </w:rPr>
      </w:pPr>
    </w:p>
    <w:p w14:paraId="5168CA1A" w14:textId="77777777" w:rsidR="00D17097" w:rsidRDefault="00602483">
      <w:pPr>
        <w:tabs>
          <w:tab w:val="left" w:pos="9071"/>
        </w:tabs>
        <w:ind w:right="-1" w:firstLine="709"/>
        <w:jc w:val="both"/>
        <w:rPr>
          <w:rFonts w:ascii="Arial" w:hAnsi="Arial" w:cs="Arial"/>
        </w:rPr>
      </w:pPr>
      <w:r>
        <w:rPr>
          <w:rFonts w:ascii="Arial" w:hAnsi="Arial" w:cs="Arial"/>
        </w:rPr>
        <w:t>Le présent marché est un marché à prix global et forfaitaire.</w:t>
      </w:r>
    </w:p>
    <w:p w14:paraId="3C1E32BE" w14:textId="77777777" w:rsidR="00D17097" w:rsidRDefault="00D17097">
      <w:pPr>
        <w:jc w:val="both"/>
        <w:rPr>
          <w:rFonts w:ascii="Arial" w:hAnsi="Arial" w:cs="Arial"/>
          <w:sz w:val="16"/>
          <w:szCs w:val="16"/>
        </w:rPr>
      </w:pPr>
    </w:p>
    <w:p w14:paraId="6D8D810E" w14:textId="55723876" w:rsidR="00D17097" w:rsidRDefault="00602483">
      <w:pPr>
        <w:pStyle w:val="Titre21"/>
      </w:pPr>
      <w:bookmarkStart w:id="5" w:name="_Toc464134954"/>
      <w:r>
        <w:t>2.4 – Décomposition en lots</w:t>
      </w:r>
      <w:bookmarkEnd w:id="5"/>
      <w:r>
        <w:t xml:space="preserve"> </w:t>
      </w:r>
    </w:p>
    <w:p w14:paraId="689CF4B6" w14:textId="77777777" w:rsidR="00D17097" w:rsidRDefault="00D17097">
      <w:pPr>
        <w:pStyle w:val="Textebrut"/>
        <w:rPr>
          <w:rFonts w:ascii="Arial" w:hAnsi="Arial" w:cs="Arial"/>
          <w:sz w:val="16"/>
          <w:szCs w:val="16"/>
          <w:highlight w:val="yellow"/>
        </w:rPr>
      </w:pPr>
    </w:p>
    <w:p w14:paraId="0FF01A92" w14:textId="10E8F9CD" w:rsidR="00602483" w:rsidRDefault="003B4D50" w:rsidP="003B4D50">
      <w:pPr>
        <w:pStyle w:val="En-tte1"/>
        <w:ind w:left="1134" w:hanging="425"/>
        <w:jc w:val="both"/>
        <w:rPr>
          <w:rFonts w:ascii="Arial" w:hAnsi="Arial" w:cs="Arial"/>
        </w:rPr>
      </w:pPr>
      <w:r>
        <w:rPr>
          <w:rFonts w:ascii="Arial" w:hAnsi="Arial" w:cs="Arial"/>
        </w:rPr>
        <w:t>Sans objet</w:t>
      </w:r>
    </w:p>
    <w:p w14:paraId="09381CC6" w14:textId="77777777" w:rsidR="00D17097" w:rsidRDefault="00D17097">
      <w:pPr>
        <w:pStyle w:val="En-tte1"/>
        <w:jc w:val="both"/>
        <w:rPr>
          <w:rFonts w:ascii="Arial" w:hAnsi="Arial" w:cs="Arial"/>
          <w:highlight w:val="green"/>
        </w:rPr>
      </w:pPr>
    </w:p>
    <w:p w14:paraId="48B49838" w14:textId="77777777" w:rsidR="00D17097" w:rsidRDefault="00602483">
      <w:pPr>
        <w:pStyle w:val="Titre21"/>
      </w:pPr>
      <w:bookmarkStart w:id="6" w:name="_Toc464134955"/>
      <w:r>
        <w:t>2.5 – Durée d’exécution</w:t>
      </w:r>
      <w:bookmarkEnd w:id="6"/>
      <w:r>
        <w:t xml:space="preserve"> </w:t>
      </w:r>
    </w:p>
    <w:p w14:paraId="53407056" w14:textId="77777777" w:rsidR="00D17097" w:rsidRDefault="00D17097">
      <w:pPr>
        <w:rPr>
          <w:rFonts w:ascii="Arial" w:hAnsi="Arial" w:cs="Arial"/>
          <w:bCs/>
          <w:sz w:val="16"/>
          <w:szCs w:val="16"/>
        </w:rPr>
      </w:pPr>
    </w:p>
    <w:p w14:paraId="6A2284D5" w14:textId="79829CFB" w:rsidR="00D17097" w:rsidRDefault="00602483">
      <w:pPr>
        <w:pStyle w:val="Textebrut"/>
        <w:ind w:left="423" w:hanging="423"/>
        <w:jc w:val="both"/>
        <w:rPr>
          <w:rFonts w:ascii="Arial" w:hAnsi="Arial" w:cs="Arial"/>
        </w:rPr>
      </w:pPr>
      <w:r>
        <w:rPr>
          <w:rFonts w:ascii="Arial" w:hAnsi="Arial" w:cs="Arial"/>
        </w:rPr>
        <w:t xml:space="preserve">La date prévisionnelle </w:t>
      </w:r>
      <w:r w:rsidR="001F5C94">
        <w:rPr>
          <w:rFonts w:ascii="Arial" w:hAnsi="Arial" w:cs="Arial"/>
        </w:rPr>
        <w:t>d'exécution des travaux est :</w:t>
      </w:r>
      <w:r w:rsidR="003B4D50">
        <w:rPr>
          <w:rFonts w:ascii="Arial" w:hAnsi="Arial" w:cs="Arial"/>
        </w:rPr>
        <w:t xml:space="preserve"> 2</w:t>
      </w:r>
      <w:r w:rsidR="003B4D50" w:rsidRPr="003B4D50">
        <w:rPr>
          <w:rFonts w:ascii="Arial" w:hAnsi="Arial" w:cs="Arial"/>
          <w:vertAlign w:val="superscript"/>
        </w:rPr>
        <w:t>ème</w:t>
      </w:r>
      <w:r w:rsidR="003B4D50">
        <w:rPr>
          <w:rFonts w:ascii="Arial" w:hAnsi="Arial" w:cs="Arial"/>
        </w:rPr>
        <w:t xml:space="preserve"> trimestre 2025</w:t>
      </w:r>
    </w:p>
    <w:p w14:paraId="7A9D7FE3" w14:textId="77777777" w:rsidR="00D17097" w:rsidRDefault="00602483">
      <w:pPr>
        <w:pStyle w:val="Textebrut"/>
        <w:ind w:left="423" w:hanging="423"/>
        <w:jc w:val="both"/>
        <w:rPr>
          <w:rFonts w:ascii="Arial" w:hAnsi="Arial" w:cs="Arial"/>
        </w:rPr>
      </w:pPr>
      <w:r>
        <w:rPr>
          <w:rFonts w:ascii="Arial" w:hAnsi="Arial" w:cs="Arial"/>
        </w:rPr>
        <w:t>Période de préparation :  2 semaines</w:t>
      </w:r>
    </w:p>
    <w:p w14:paraId="074016AA" w14:textId="77777777" w:rsidR="00D17097" w:rsidRDefault="00602483">
      <w:pPr>
        <w:pStyle w:val="Normal2"/>
        <w:ind w:left="0" w:firstLine="0"/>
        <w:rPr>
          <w:rFonts w:ascii="Arial" w:hAnsi="Arial" w:cs="Arial"/>
          <w:sz w:val="20"/>
        </w:rPr>
      </w:pPr>
      <w:r>
        <w:rPr>
          <w:rFonts w:ascii="Arial" w:hAnsi="Arial" w:cs="Arial"/>
          <w:sz w:val="20"/>
        </w:rPr>
        <w:t>Les délais d’exéc</w:t>
      </w:r>
      <w:r w:rsidR="001F5C94">
        <w:rPr>
          <w:rFonts w:ascii="Arial" w:hAnsi="Arial" w:cs="Arial"/>
          <w:sz w:val="20"/>
        </w:rPr>
        <w:t>ution des travaux sont fixés à</w:t>
      </w:r>
      <w:r>
        <w:rPr>
          <w:rFonts w:ascii="Arial" w:hAnsi="Arial" w:cs="Arial"/>
          <w:sz w:val="20"/>
        </w:rPr>
        <w:t xml:space="preserve"> l’acte d’engagement et ne peuvent en aucun cas être modifiés.</w:t>
      </w:r>
    </w:p>
    <w:p w14:paraId="40B21A26" w14:textId="77777777" w:rsidR="00D17097" w:rsidRDefault="00602483">
      <w:pPr>
        <w:pStyle w:val="Textebrut"/>
        <w:ind w:left="423" w:hanging="423"/>
        <w:jc w:val="both"/>
        <w:rPr>
          <w:rFonts w:ascii="Arial" w:hAnsi="Arial" w:cs="Arial"/>
        </w:rPr>
      </w:pPr>
      <w:r>
        <w:rPr>
          <w:rFonts w:ascii="Arial" w:hAnsi="Arial" w:cs="Arial"/>
        </w:rPr>
        <w:t>Le planning est proposé par le candidat dans son offre.</w:t>
      </w:r>
    </w:p>
    <w:p w14:paraId="0BA20BF5" w14:textId="77777777" w:rsidR="00D17097" w:rsidRDefault="00D17097">
      <w:pPr>
        <w:ind w:left="709"/>
        <w:jc w:val="both"/>
        <w:rPr>
          <w:rFonts w:ascii="Arial" w:hAnsi="Arial" w:cs="Arial"/>
          <w:b/>
        </w:rPr>
      </w:pPr>
    </w:p>
    <w:p w14:paraId="62B17BE9" w14:textId="77777777" w:rsidR="00D17097" w:rsidRDefault="00602483">
      <w:pPr>
        <w:pStyle w:val="Titre21"/>
      </w:pPr>
      <w:bookmarkStart w:id="7" w:name="_Toc464134956"/>
      <w:r>
        <w:t>2.6 – Modifications de détail au dossier de consultation</w:t>
      </w:r>
      <w:bookmarkEnd w:id="7"/>
      <w:r>
        <w:t> </w:t>
      </w:r>
    </w:p>
    <w:p w14:paraId="4DEB858A" w14:textId="77777777" w:rsidR="00D17097" w:rsidRDefault="00D17097">
      <w:pPr>
        <w:pStyle w:val="En-tte1"/>
        <w:tabs>
          <w:tab w:val="clear" w:pos="4536"/>
          <w:tab w:val="clear" w:pos="9072"/>
        </w:tabs>
        <w:jc w:val="both"/>
        <w:rPr>
          <w:rFonts w:ascii="Arial" w:hAnsi="Arial" w:cs="Arial"/>
          <w:b/>
          <w:sz w:val="16"/>
          <w:szCs w:val="16"/>
        </w:rPr>
      </w:pPr>
    </w:p>
    <w:p w14:paraId="5F6EEE8D" w14:textId="77777777" w:rsidR="00D17097" w:rsidRDefault="00602483">
      <w:pPr>
        <w:jc w:val="both"/>
        <w:rPr>
          <w:rFonts w:ascii="Arial" w:hAnsi="Arial" w:cs="Arial"/>
        </w:rPr>
      </w:pPr>
      <w:r>
        <w:rPr>
          <w:rFonts w:ascii="Arial" w:hAnsi="Arial" w:cs="Arial"/>
        </w:rPr>
        <w:t>Les renseignements complémentaires sur les documents de la consultation sont envoyés aux opérateurs économiques six jours au plus tard avant la date limite fixée pour la réception des offres, pour autant qu’ils en aient fait la demande en temps utile.</w:t>
      </w:r>
    </w:p>
    <w:p w14:paraId="3DC274E2" w14:textId="77777777" w:rsidR="00D17097" w:rsidRDefault="00D17097">
      <w:pPr>
        <w:jc w:val="both"/>
        <w:rPr>
          <w:rFonts w:ascii="Arial" w:hAnsi="Arial" w:cs="Arial"/>
        </w:rPr>
      </w:pPr>
    </w:p>
    <w:p w14:paraId="680ADDE3" w14:textId="77777777" w:rsidR="00D17097" w:rsidRDefault="00602483">
      <w:pPr>
        <w:jc w:val="both"/>
        <w:rPr>
          <w:rFonts w:ascii="Arial" w:hAnsi="Arial" w:cs="Arial"/>
        </w:rPr>
      </w:pPr>
      <w:r>
        <w:rPr>
          <w:rFonts w:ascii="Arial" w:hAnsi="Arial" w:cs="Arial"/>
        </w:rPr>
        <w:t>Si pendant l’étude du dossier, la date limite pour la remise des offres est reportée, la disposition précédente est applicable en fonction de cette nouvelle date.</w:t>
      </w:r>
    </w:p>
    <w:p w14:paraId="03EF3ADD" w14:textId="77777777" w:rsidR="00D17097" w:rsidRDefault="00D17097">
      <w:pPr>
        <w:ind w:firstLine="709"/>
        <w:jc w:val="both"/>
        <w:rPr>
          <w:rFonts w:ascii="Arial" w:hAnsi="Arial" w:cs="Arial"/>
        </w:rPr>
      </w:pPr>
    </w:p>
    <w:p w14:paraId="0BB1EB42" w14:textId="77777777" w:rsidR="00D17097" w:rsidRDefault="00602483">
      <w:pPr>
        <w:pStyle w:val="Titre21"/>
      </w:pPr>
      <w:bookmarkStart w:id="8" w:name="_Toc464134957"/>
      <w:r>
        <w:t>2.7 – Mode de règlement et délai de paiement</w:t>
      </w:r>
      <w:bookmarkEnd w:id="8"/>
    </w:p>
    <w:p w14:paraId="439AF494" w14:textId="77777777" w:rsidR="00D17097" w:rsidRDefault="00D17097">
      <w:pPr>
        <w:ind w:left="708"/>
        <w:jc w:val="both"/>
        <w:rPr>
          <w:rFonts w:ascii="Arial" w:hAnsi="Arial" w:cs="Arial"/>
          <w:b/>
        </w:rPr>
      </w:pPr>
    </w:p>
    <w:p w14:paraId="2AA5B50C" w14:textId="77777777" w:rsidR="00D17097" w:rsidRDefault="00602483">
      <w:pPr>
        <w:pStyle w:val="En-tte1"/>
        <w:tabs>
          <w:tab w:val="clear" w:pos="4536"/>
          <w:tab w:val="clear" w:pos="9072"/>
        </w:tabs>
        <w:jc w:val="both"/>
        <w:rPr>
          <w:rFonts w:ascii="Arial" w:hAnsi="Arial" w:cs="Arial"/>
        </w:rPr>
      </w:pPr>
      <w:r>
        <w:rPr>
          <w:rFonts w:ascii="Arial" w:hAnsi="Arial" w:cs="Arial"/>
        </w:rPr>
        <w:t>Le mode de règlement prévu est le virement administratif avec paiement à 30 jours maximum.</w:t>
      </w:r>
    </w:p>
    <w:p w14:paraId="321F5AB0" w14:textId="77777777" w:rsidR="00D17097" w:rsidRDefault="00D17097">
      <w:pPr>
        <w:pStyle w:val="En-tte1"/>
        <w:tabs>
          <w:tab w:val="clear" w:pos="4536"/>
          <w:tab w:val="clear" w:pos="9072"/>
        </w:tabs>
        <w:jc w:val="both"/>
        <w:rPr>
          <w:rFonts w:ascii="Arial" w:hAnsi="Arial" w:cs="Arial"/>
        </w:rPr>
      </w:pPr>
    </w:p>
    <w:p w14:paraId="77E6D6CB" w14:textId="77777777" w:rsidR="00D17097" w:rsidRDefault="00602483">
      <w:pPr>
        <w:pStyle w:val="Titre21"/>
      </w:pPr>
      <w:bookmarkStart w:id="9" w:name="_Toc464134958"/>
      <w:r>
        <w:lastRenderedPageBreak/>
        <w:t>2.8 – Lieux d’exécution des travaux</w:t>
      </w:r>
      <w:bookmarkEnd w:id="9"/>
    </w:p>
    <w:p w14:paraId="6DCB272C" w14:textId="77777777" w:rsidR="00D17097" w:rsidRDefault="00D17097">
      <w:pPr>
        <w:pStyle w:val="En-tte1"/>
        <w:tabs>
          <w:tab w:val="clear" w:pos="4536"/>
          <w:tab w:val="clear" w:pos="9072"/>
        </w:tabs>
        <w:ind w:firstLine="709"/>
        <w:jc w:val="both"/>
        <w:rPr>
          <w:rFonts w:ascii="Arial" w:hAnsi="Arial" w:cs="Arial"/>
        </w:rPr>
      </w:pPr>
    </w:p>
    <w:p w14:paraId="25AAC5E3" w14:textId="39B60A19" w:rsidR="001F5C94" w:rsidRDefault="000713C7" w:rsidP="001F5C94">
      <w:pPr>
        <w:jc w:val="both"/>
      </w:pPr>
      <w:r>
        <w:rPr>
          <w:rFonts w:ascii="Arial" w:hAnsi="Arial" w:cs="Arial"/>
        </w:rPr>
        <w:t>Rue de Fesmy (derrière la déchèterie)</w:t>
      </w:r>
      <w:r w:rsidR="001F5C94">
        <w:rPr>
          <w:rFonts w:ascii="Arial" w:hAnsi="Arial" w:cs="Arial"/>
        </w:rPr>
        <w:t xml:space="preserve"> à </w:t>
      </w:r>
      <w:r>
        <w:rPr>
          <w:rFonts w:ascii="Arial" w:hAnsi="Arial" w:cs="Arial"/>
        </w:rPr>
        <w:t>Le Cateau Cambrésis</w:t>
      </w:r>
    </w:p>
    <w:p w14:paraId="23765588" w14:textId="77777777" w:rsidR="00D17097" w:rsidRDefault="00D17097">
      <w:pPr>
        <w:jc w:val="both"/>
        <w:rPr>
          <w:rFonts w:ascii="Arial" w:hAnsi="Arial" w:cs="Arial"/>
        </w:rPr>
      </w:pPr>
    </w:p>
    <w:p w14:paraId="0DBC0180" w14:textId="77777777" w:rsidR="00D17097" w:rsidRDefault="00602483">
      <w:pPr>
        <w:pStyle w:val="Titre21"/>
      </w:pPr>
      <w:bookmarkStart w:id="10" w:name="_Toc464134959"/>
      <w:r>
        <w:t>2.9 – Variantes</w:t>
      </w:r>
      <w:bookmarkEnd w:id="10"/>
      <w:r>
        <w:t xml:space="preserve"> </w:t>
      </w:r>
    </w:p>
    <w:p w14:paraId="00923CBB" w14:textId="77777777" w:rsidR="00D17097" w:rsidRDefault="00D17097">
      <w:pPr>
        <w:ind w:firstLine="567"/>
        <w:jc w:val="both"/>
        <w:rPr>
          <w:rFonts w:ascii="Arial" w:eastAsia="Trebuchet MS" w:hAnsi="Arial" w:cs="Arial"/>
          <w:color w:val="000000"/>
          <w:szCs w:val="24"/>
          <w:highlight w:val="yellow"/>
        </w:rPr>
      </w:pPr>
    </w:p>
    <w:p w14:paraId="05309260" w14:textId="77777777" w:rsidR="00D17097" w:rsidRDefault="00602483">
      <w:pPr>
        <w:rPr>
          <w:rFonts w:ascii="Arial" w:eastAsia="Trebuchet MS" w:hAnsi="Arial" w:cs="Arial"/>
          <w:color w:val="000000"/>
          <w:szCs w:val="24"/>
        </w:rPr>
      </w:pPr>
      <w:r>
        <w:rPr>
          <w:rFonts w:ascii="Arial" w:eastAsia="Trebuchet MS" w:hAnsi="Arial" w:cs="Arial"/>
          <w:color w:val="000000"/>
          <w:szCs w:val="24"/>
        </w:rPr>
        <w:t>Les variantes ne sont pas autorisées.</w:t>
      </w:r>
    </w:p>
    <w:p w14:paraId="336C2872" w14:textId="77777777" w:rsidR="00D17097" w:rsidRDefault="00D17097"/>
    <w:p w14:paraId="57586BE5" w14:textId="77777777" w:rsidR="00D17097" w:rsidRDefault="00602483">
      <w:pPr>
        <w:pStyle w:val="Titre21"/>
      </w:pPr>
      <w:bookmarkStart w:id="11" w:name="_Toc464134960"/>
      <w:r>
        <w:t>2.10 – Compléments à apporter au « Cahier des Clauses Particulières »</w:t>
      </w:r>
      <w:bookmarkEnd w:id="11"/>
    </w:p>
    <w:p w14:paraId="76301FDE" w14:textId="77777777" w:rsidR="00D17097" w:rsidRDefault="00D17097">
      <w:pPr>
        <w:pStyle w:val="En-tte1"/>
        <w:tabs>
          <w:tab w:val="clear" w:pos="4536"/>
          <w:tab w:val="clear" w:pos="9072"/>
        </w:tabs>
        <w:jc w:val="both"/>
        <w:rPr>
          <w:rFonts w:ascii="Arial" w:hAnsi="Arial" w:cs="Arial"/>
        </w:rPr>
      </w:pPr>
    </w:p>
    <w:p w14:paraId="2F4390EB" w14:textId="77777777" w:rsidR="00D17097" w:rsidRDefault="00602483">
      <w:pPr>
        <w:jc w:val="both"/>
        <w:rPr>
          <w:rFonts w:ascii="Arial" w:hAnsi="Arial" w:cs="Arial"/>
        </w:rPr>
      </w:pPr>
      <w:r>
        <w:rPr>
          <w:rFonts w:ascii="Arial" w:hAnsi="Arial" w:cs="Arial"/>
        </w:rPr>
        <w:t>Les candidats n’ont pas à apporter de compléments aux Cahiers des Clauses Administratives et Techniques Particulières applicables au présent marché.</w:t>
      </w:r>
    </w:p>
    <w:p w14:paraId="4E1B5838" w14:textId="77777777" w:rsidR="00D17097" w:rsidRDefault="00D17097">
      <w:pPr>
        <w:ind w:left="708"/>
        <w:jc w:val="both"/>
        <w:rPr>
          <w:rFonts w:ascii="Arial" w:hAnsi="Arial" w:cs="Arial"/>
        </w:rPr>
      </w:pPr>
    </w:p>
    <w:p w14:paraId="0A1435D0" w14:textId="77777777" w:rsidR="00D17097" w:rsidRDefault="00602483">
      <w:pPr>
        <w:pStyle w:val="Titre21"/>
      </w:pPr>
      <w:bookmarkStart w:id="12" w:name="_Toc464134961"/>
      <w:r>
        <w:t>2.11 – Maîtrise d’œuvre et suivi des travaux</w:t>
      </w:r>
      <w:bookmarkEnd w:id="12"/>
      <w:r>
        <w:t> </w:t>
      </w:r>
    </w:p>
    <w:p w14:paraId="44611B65" w14:textId="77777777" w:rsidR="00D17097" w:rsidRDefault="00D17097">
      <w:pPr>
        <w:pStyle w:val="Textebrut"/>
        <w:jc w:val="both"/>
        <w:rPr>
          <w:rFonts w:ascii="Arial" w:hAnsi="Arial" w:cs="Arial"/>
        </w:rPr>
      </w:pPr>
    </w:p>
    <w:p w14:paraId="5C64B952" w14:textId="77777777" w:rsidR="00D17097" w:rsidRDefault="00602483">
      <w:pPr>
        <w:pStyle w:val="Default"/>
        <w:ind w:firstLine="708"/>
        <w:rPr>
          <w:color w:val="auto"/>
          <w:sz w:val="20"/>
          <w:szCs w:val="20"/>
        </w:rPr>
      </w:pPr>
      <w:r>
        <w:rPr>
          <w:color w:val="auto"/>
          <w:sz w:val="20"/>
          <w:szCs w:val="20"/>
        </w:rPr>
        <w:t>ETAMINE</w:t>
      </w:r>
    </w:p>
    <w:p w14:paraId="1F267182" w14:textId="77777777" w:rsidR="00D17097" w:rsidRDefault="00602483">
      <w:pPr>
        <w:pStyle w:val="Default"/>
        <w:ind w:firstLine="708"/>
        <w:rPr>
          <w:color w:val="auto"/>
          <w:sz w:val="20"/>
          <w:szCs w:val="20"/>
        </w:rPr>
      </w:pPr>
      <w:r>
        <w:rPr>
          <w:color w:val="auto"/>
          <w:sz w:val="20"/>
          <w:szCs w:val="20"/>
        </w:rPr>
        <w:t>1, Rue du MIN de Lomme</w:t>
      </w:r>
    </w:p>
    <w:p w14:paraId="20DD3F3A" w14:textId="77777777" w:rsidR="00D17097" w:rsidRDefault="00602483">
      <w:pPr>
        <w:pStyle w:val="Default"/>
        <w:ind w:firstLine="708"/>
        <w:rPr>
          <w:color w:val="auto"/>
          <w:sz w:val="20"/>
          <w:szCs w:val="20"/>
        </w:rPr>
      </w:pPr>
      <w:r>
        <w:rPr>
          <w:color w:val="auto"/>
          <w:sz w:val="20"/>
          <w:szCs w:val="20"/>
        </w:rPr>
        <w:t>59 160 LOMME</w:t>
      </w:r>
    </w:p>
    <w:p w14:paraId="62CF53FB" w14:textId="77777777" w:rsidR="00D17097" w:rsidRDefault="00D17097">
      <w:pPr>
        <w:rPr>
          <w:rFonts w:ascii="Arial" w:hAnsi="Arial" w:cs="Arial"/>
          <w:bCs/>
        </w:rPr>
      </w:pPr>
    </w:p>
    <w:p w14:paraId="46D5C210" w14:textId="77777777" w:rsidR="00D17097" w:rsidRDefault="00602483">
      <w:pPr>
        <w:pStyle w:val="Titre21"/>
      </w:pPr>
      <w:bookmarkStart w:id="13" w:name="_Toc464134962"/>
      <w:r>
        <w:t>2.12 – Contrôle technique</w:t>
      </w:r>
      <w:bookmarkEnd w:id="13"/>
      <w:r>
        <w:t xml:space="preserve"> </w:t>
      </w:r>
    </w:p>
    <w:p w14:paraId="1182BFA6" w14:textId="77777777" w:rsidR="00D17097" w:rsidRDefault="00D17097">
      <w:pPr>
        <w:pStyle w:val="Textebrut"/>
        <w:ind w:left="705"/>
        <w:jc w:val="both"/>
        <w:rPr>
          <w:rFonts w:ascii="Arial" w:hAnsi="Arial" w:cs="Arial"/>
        </w:rPr>
      </w:pPr>
    </w:p>
    <w:p w14:paraId="5FFF02FE" w14:textId="77777777" w:rsidR="00D17097" w:rsidRDefault="00602483">
      <w:pPr>
        <w:pStyle w:val="Textebrut"/>
        <w:ind w:left="705" w:hanging="705"/>
        <w:jc w:val="both"/>
        <w:rPr>
          <w:rFonts w:ascii="Arial" w:hAnsi="Arial" w:cs="Arial"/>
        </w:rPr>
      </w:pPr>
      <w:r>
        <w:rPr>
          <w:rFonts w:ascii="Arial" w:hAnsi="Arial" w:cs="Arial"/>
        </w:rPr>
        <w:t>Sans objet</w:t>
      </w:r>
    </w:p>
    <w:p w14:paraId="5522B33F" w14:textId="77777777" w:rsidR="00D17097" w:rsidRDefault="00D17097">
      <w:pPr>
        <w:rPr>
          <w:rFonts w:ascii="Arial" w:hAnsi="Arial" w:cs="Arial"/>
          <w:bCs/>
        </w:rPr>
      </w:pPr>
    </w:p>
    <w:p w14:paraId="2F436416" w14:textId="77777777" w:rsidR="00D17097" w:rsidRDefault="00602483">
      <w:pPr>
        <w:pStyle w:val="Titre21"/>
      </w:pPr>
      <w:bookmarkStart w:id="14" w:name="_Toc464134963"/>
      <w:r>
        <w:t>2.13 – Coordination en matière de sécurité et de protection de la santé (CSPS)</w:t>
      </w:r>
      <w:bookmarkEnd w:id="14"/>
    </w:p>
    <w:p w14:paraId="47635E8F" w14:textId="77777777" w:rsidR="00D17097" w:rsidRDefault="00D17097">
      <w:pPr>
        <w:pStyle w:val="En-tte1"/>
        <w:tabs>
          <w:tab w:val="clear" w:pos="4536"/>
          <w:tab w:val="clear" w:pos="9072"/>
        </w:tabs>
        <w:ind w:firstLine="709"/>
        <w:jc w:val="both"/>
        <w:rPr>
          <w:rFonts w:ascii="Arial" w:hAnsi="Arial" w:cs="Arial"/>
        </w:rPr>
      </w:pPr>
    </w:p>
    <w:p w14:paraId="4A2F6120" w14:textId="77777777" w:rsidR="00D17097" w:rsidRDefault="00602483">
      <w:pPr>
        <w:pStyle w:val="Normal2"/>
        <w:ind w:left="0" w:firstLine="0"/>
        <w:rPr>
          <w:rFonts w:ascii="Arial" w:hAnsi="Arial" w:cs="Arial"/>
          <w:sz w:val="20"/>
        </w:rPr>
      </w:pPr>
      <w:r>
        <w:rPr>
          <w:rFonts w:ascii="Arial" w:hAnsi="Arial" w:cs="Arial"/>
          <w:sz w:val="20"/>
        </w:rPr>
        <w:t>S’il y a coactivité des entreprises sur le chantier, le Maître d’Ouvrage désignera un Coordonnateur de Sécurité et Protection de la Santé.</w:t>
      </w:r>
    </w:p>
    <w:p w14:paraId="16ADE5EA" w14:textId="77777777" w:rsidR="00D17097" w:rsidRDefault="00D17097">
      <w:pPr>
        <w:rPr>
          <w:rFonts w:ascii="Arial" w:hAnsi="Arial" w:cs="Arial"/>
          <w:bCs/>
        </w:rPr>
      </w:pPr>
    </w:p>
    <w:p w14:paraId="2859FAF5" w14:textId="77777777" w:rsidR="00D17097" w:rsidRDefault="00602483">
      <w:pPr>
        <w:pStyle w:val="Titre11"/>
      </w:pPr>
      <w:bookmarkStart w:id="15" w:name="_Toc464134964"/>
      <w:r>
        <w:t>ARTICLE 3 – PROCEDURE</w:t>
      </w:r>
      <w:bookmarkEnd w:id="15"/>
      <w:r>
        <w:t xml:space="preserve"> </w:t>
      </w:r>
    </w:p>
    <w:p w14:paraId="1EFD3E48" w14:textId="77777777" w:rsidR="00D17097" w:rsidRDefault="00D17097">
      <w:pPr>
        <w:pStyle w:val="En-tte1"/>
        <w:tabs>
          <w:tab w:val="clear" w:pos="4536"/>
          <w:tab w:val="clear" w:pos="9072"/>
        </w:tabs>
        <w:jc w:val="both"/>
        <w:rPr>
          <w:rFonts w:ascii="Arial" w:hAnsi="Arial" w:cs="Arial"/>
        </w:rPr>
      </w:pPr>
    </w:p>
    <w:p w14:paraId="744B0940" w14:textId="77777777" w:rsidR="00D17097" w:rsidRDefault="00602483">
      <w:pPr>
        <w:pStyle w:val="Titre21"/>
      </w:pPr>
      <w:bookmarkStart w:id="16" w:name="_Toc464134965"/>
      <w:r>
        <w:t>3.1 – Type de procédure</w:t>
      </w:r>
      <w:bookmarkEnd w:id="16"/>
    </w:p>
    <w:p w14:paraId="7DAEC5D2" w14:textId="77777777" w:rsidR="00D17097" w:rsidRDefault="00D17097">
      <w:pPr>
        <w:pStyle w:val="En-tte1"/>
        <w:tabs>
          <w:tab w:val="clear" w:pos="4536"/>
          <w:tab w:val="clear" w:pos="9072"/>
        </w:tabs>
        <w:jc w:val="both"/>
        <w:rPr>
          <w:rFonts w:ascii="Arial" w:hAnsi="Arial" w:cs="Arial"/>
        </w:rPr>
      </w:pPr>
    </w:p>
    <w:p w14:paraId="34E806F2" w14:textId="77777777" w:rsidR="00D17097" w:rsidRDefault="00602483">
      <w:pPr>
        <w:pStyle w:val="En-tte1"/>
        <w:tabs>
          <w:tab w:val="clear" w:pos="4536"/>
          <w:tab w:val="clear" w:pos="9072"/>
        </w:tabs>
        <w:jc w:val="both"/>
        <w:rPr>
          <w:rFonts w:ascii="Arial" w:hAnsi="Arial" w:cs="Arial"/>
        </w:rPr>
      </w:pPr>
      <w:r>
        <w:rPr>
          <w:rFonts w:ascii="Arial" w:hAnsi="Arial" w:cs="Arial"/>
        </w:rPr>
        <w:t>La présente consultation est lancée sous forme d’une procédure adaptée conformément aux articles R.2123-1 et R.2123-4 à 6 et 14 du CCP du 05 Décembre 2018 relatif aux marchés publics.</w:t>
      </w:r>
    </w:p>
    <w:p w14:paraId="445F3CEB" w14:textId="77777777" w:rsidR="00D17097" w:rsidRDefault="00D17097">
      <w:pPr>
        <w:pStyle w:val="En-tte1"/>
        <w:tabs>
          <w:tab w:val="clear" w:pos="4536"/>
          <w:tab w:val="clear" w:pos="9072"/>
        </w:tabs>
        <w:ind w:firstLine="709"/>
        <w:jc w:val="both"/>
        <w:rPr>
          <w:rFonts w:ascii="Arial" w:hAnsi="Arial" w:cs="Arial"/>
        </w:rPr>
      </w:pPr>
    </w:p>
    <w:p w14:paraId="14B0D665" w14:textId="77777777" w:rsidR="00D17097" w:rsidRDefault="00602483">
      <w:pPr>
        <w:pStyle w:val="Titre21"/>
      </w:pPr>
      <w:bookmarkStart w:id="17" w:name="_Toc464134966"/>
      <w:r>
        <w:t>3.2 – Monnaie</w:t>
      </w:r>
      <w:bookmarkEnd w:id="17"/>
    </w:p>
    <w:p w14:paraId="5F1D9E0E" w14:textId="77777777" w:rsidR="00D17097" w:rsidRDefault="00D17097">
      <w:pPr>
        <w:jc w:val="both"/>
        <w:rPr>
          <w:rFonts w:ascii="Arial" w:hAnsi="Arial" w:cs="Arial"/>
        </w:rPr>
      </w:pPr>
    </w:p>
    <w:p w14:paraId="0E45763A" w14:textId="77777777" w:rsidR="00D17097" w:rsidRDefault="00602483">
      <w:pPr>
        <w:pStyle w:val="En-tte1"/>
        <w:tabs>
          <w:tab w:val="clear" w:pos="4536"/>
          <w:tab w:val="clear" w:pos="9072"/>
        </w:tabs>
        <w:jc w:val="both"/>
        <w:rPr>
          <w:rFonts w:ascii="Arial" w:hAnsi="Arial" w:cs="Arial"/>
        </w:rPr>
      </w:pPr>
      <w:r>
        <w:rPr>
          <w:rFonts w:ascii="Arial" w:hAnsi="Arial" w:cs="Arial"/>
        </w:rPr>
        <w:t>Le marché sera conclu dans la monnaie suivante : « L’EURO ».</w:t>
      </w:r>
    </w:p>
    <w:p w14:paraId="19D53B35" w14:textId="77777777" w:rsidR="00D17097" w:rsidRDefault="00D17097">
      <w:pPr>
        <w:pStyle w:val="En-tte1"/>
        <w:tabs>
          <w:tab w:val="clear" w:pos="4536"/>
          <w:tab w:val="clear" w:pos="9072"/>
        </w:tabs>
        <w:ind w:firstLine="709"/>
        <w:jc w:val="both"/>
        <w:rPr>
          <w:rFonts w:ascii="Arial" w:hAnsi="Arial" w:cs="Arial"/>
        </w:rPr>
      </w:pPr>
    </w:p>
    <w:p w14:paraId="244D1335" w14:textId="77777777" w:rsidR="00D17097" w:rsidRDefault="00602483">
      <w:pPr>
        <w:pStyle w:val="Titre21"/>
      </w:pPr>
      <w:bookmarkStart w:id="18" w:name="_Toc464134967"/>
      <w:r>
        <w:t>3.3 – Langue</w:t>
      </w:r>
      <w:bookmarkEnd w:id="18"/>
    </w:p>
    <w:p w14:paraId="3BE69F83" w14:textId="77777777" w:rsidR="00D17097" w:rsidRDefault="00D17097">
      <w:pPr>
        <w:pStyle w:val="En-tte1"/>
        <w:tabs>
          <w:tab w:val="clear" w:pos="4536"/>
          <w:tab w:val="clear" w:pos="9072"/>
        </w:tabs>
        <w:jc w:val="both"/>
        <w:rPr>
          <w:rFonts w:ascii="Arial" w:hAnsi="Arial" w:cs="Arial"/>
        </w:rPr>
      </w:pPr>
    </w:p>
    <w:p w14:paraId="19823477" w14:textId="77777777" w:rsidR="00D17097" w:rsidRDefault="00602483">
      <w:pPr>
        <w:pStyle w:val="En-tte1"/>
        <w:tabs>
          <w:tab w:val="clear" w:pos="4536"/>
          <w:tab w:val="clear" w:pos="9072"/>
        </w:tabs>
        <w:jc w:val="both"/>
        <w:rPr>
          <w:rFonts w:ascii="Arial" w:hAnsi="Arial" w:cs="Arial"/>
        </w:rPr>
      </w:pPr>
      <w:r>
        <w:rPr>
          <w:rFonts w:ascii="Arial" w:hAnsi="Arial" w:cs="Arial"/>
        </w:rPr>
        <w:t>Les offres des candidats seront entièrement rédigées en langue française ou une traduction en français sera jointe aux documents rédigés dans une autre langue.</w:t>
      </w:r>
    </w:p>
    <w:p w14:paraId="332384D6" w14:textId="77777777" w:rsidR="00D17097" w:rsidRDefault="00D17097">
      <w:pPr>
        <w:pStyle w:val="En-tte1"/>
        <w:tabs>
          <w:tab w:val="clear" w:pos="4536"/>
          <w:tab w:val="clear" w:pos="9072"/>
        </w:tabs>
        <w:ind w:firstLine="709"/>
        <w:jc w:val="both"/>
        <w:rPr>
          <w:rFonts w:ascii="Arial" w:hAnsi="Arial" w:cs="Arial"/>
        </w:rPr>
      </w:pPr>
    </w:p>
    <w:p w14:paraId="74ABC3C8" w14:textId="77777777" w:rsidR="00D17097" w:rsidRDefault="00D17097">
      <w:pPr>
        <w:pStyle w:val="En-tte1"/>
        <w:tabs>
          <w:tab w:val="clear" w:pos="4536"/>
          <w:tab w:val="clear" w:pos="9072"/>
        </w:tabs>
        <w:jc w:val="both"/>
        <w:rPr>
          <w:rFonts w:ascii="Arial" w:hAnsi="Arial" w:cs="Arial"/>
          <w:b/>
          <w:bCs/>
        </w:rPr>
      </w:pPr>
    </w:p>
    <w:p w14:paraId="7C82B8C7" w14:textId="77777777" w:rsidR="00D17097" w:rsidRDefault="00602483">
      <w:pPr>
        <w:pStyle w:val="Titre11"/>
      </w:pPr>
      <w:bookmarkStart w:id="19" w:name="_Toc464134968"/>
      <w:r>
        <w:t>ARTICLE 4 – CONDITIONS RELATIVES AU MARCHE</w:t>
      </w:r>
      <w:bookmarkEnd w:id="19"/>
    </w:p>
    <w:p w14:paraId="3DF7A480" w14:textId="77777777" w:rsidR="00D17097" w:rsidRDefault="00D17097">
      <w:pPr>
        <w:pStyle w:val="En-tte1"/>
        <w:tabs>
          <w:tab w:val="clear" w:pos="4536"/>
          <w:tab w:val="clear" w:pos="9072"/>
        </w:tabs>
        <w:jc w:val="both"/>
        <w:rPr>
          <w:rFonts w:ascii="Arial" w:hAnsi="Arial" w:cs="Arial"/>
          <w:b/>
          <w:bCs/>
        </w:rPr>
      </w:pPr>
    </w:p>
    <w:p w14:paraId="606EA63A" w14:textId="77777777" w:rsidR="00D17097" w:rsidRDefault="00602483">
      <w:pPr>
        <w:pStyle w:val="Titre21"/>
      </w:pPr>
      <w:bookmarkStart w:id="20" w:name="_Toc464134969"/>
      <w:r>
        <w:t>4.1 – Cautionnement et garanties exigés</w:t>
      </w:r>
      <w:bookmarkEnd w:id="20"/>
    </w:p>
    <w:p w14:paraId="0FEBF636" w14:textId="77777777" w:rsidR="00D17097" w:rsidRDefault="00D17097">
      <w:pPr>
        <w:pStyle w:val="En-tte1"/>
        <w:tabs>
          <w:tab w:val="clear" w:pos="4536"/>
          <w:tab w:val="clear" w:pos="9072"/>
        </w:tabs>
        <w:ind w:firstLine="709"/>
        <w:jc w:val="both"/>
        <w:rPr>
          <w:rFonts w:ascii="Arial" w:hAnsi="Arial" w:cs="Arial"/>
        </w:rPr>
      </w:pPr>
    </w:p>
    <w:p w14:paraId="6A5121BF" w14:textId="77777777" w:rsidR="00D17097" w:rsidRDefault="00602483">
      <w:pPr>
        <w:pStyle w:val="Titre21"/>
        <w:pBdr>
          <w:bottom w:val="nil"/>
        </w:pBdr>
        <w:rPr>
          <w:rFonts w:cs="Arial"/>
          <w:b w:val="0"/>
          <w:bCs w:val="0"/>
          <w:color w:val="auto"/>
          <w:sz w:val="20"/>
          <w:szCs w:val="20"/>
        </w:rPr>
      </w:pPr>
      <w:bookmarkStart w:id="21" w:name="_Toc464134970"/>
      <w:r>
        <w:rPr>
          <w:rFonts w:cs="Arial"/>
          <w:b w:val="0"/>
          <w:bCs w:val="0"/>
          <w:color w:val="auto"/>
          <w:sz w:val="20"/>
          <w:szCs w:val="20"/>
        </w:rPr>
        <w:t>Retenue de</w:t>
      </w:r>
      <w:r>
        <w:t xml:space="preserve"> </w:t>
      </w:r>
      <w:r>
        <w:rPr>
          <w:rFonts w:cs="Arial"/>
          <w:b w:val="0"/>
          <w:bCs w:val="0"/>
          <w:color w:val="auto"/>
          <w:sz w:val="20"/>
          <w:szCs w:val="20"/>
        </w:rPr>
        <w:t>Garantie selon les modalités précisées au C.C.A.P.</w:t>
      </w:r>
      <w:bookmarkEnd w:id="21"/>
    </w:p>
    <w:p w14:paraId="45889C11" w14:textId="77777777" w:rsidR="00D17097" w:rsidRDefault="00D17097"/>
    <w:p w14:paraId="24D7FF6F" w14:textId="77777777" w:rsidR="00D17097" w:rsidRDefault="00602483">
      <w:pPr>
        <w:rPr>
          <w:rFonts w:ascii="Arial" w:hAnsi="Arial"/>
          <w:b/>
          <w:bCs/>
          <w:color w:val="0070C0"/>
          <w:sz w:val="24"/>
          <w:szCs w:val="24"/>
        </w:rPr>
      </w:pPr>
      <w:r>
        <w:br w:type="page"/>
      </w:r>
    </w:p>
    <w:p w14:paraId="0D6F1534" w14:textId="77777777" w:rsidR="00D17097" w:rsidRDefault="00602483">
      <w:pPr>
        <w:pStyle w:val="Titre21"/>
      </w:pPr>
      <w:bookmarkStart w:id="22" w:name="_Toc464134971"/>
      <w:r>
        <w:lastRenderedPageBreak/>
        <w:t>4.2 – Modalités essentielles de financement</w:t>
      </w:r>
      <w:bookmarkEnd w:id="22"/>
    </w:p>
    <w:p w14:paraId="798D1120" w14:textId="77777777" w:rsidR="00D17097" w:rsidRDefault="00D17097">
      <w:pPr>
        <w:pStyle w:val="Retraitcorpsdetexte"/>
        <w:ind w:left="0" w:firstLine="709"/>
        <w:rPr>
          <w:sz w:val="20"/>
          <w:szCs w:val="20"/>
        </w:rPr>
      </w:pPr>
    </w:p>
    <w:p w14:paraId="33D70365" w14:textId="5BD1A539" w:rsidR="00D17097" w:rsidRDefault="00602483">
      <w:pPr>
        <w:pStyle w:val="Retraitcorpsdetexte"/>
        <w:ind w:left="0" w:firstLine="0"/>
        <w:rPr>
          <w:sz w:val="20"/>
          <w:szCs w:val="20"/>
        </w:rPr>
      </w:pPr>
      <w:r>
        <w:rPr>
          <w:sz w:val="20"/>
          <w:szCs w:val="20"/>
        </w:rPr>
        <w:t>Le marché sera financé sur les</w:t>
      </w:r>
      <w:r w:rsidR="00784DF8">
        <w:rPr>
          <w:sz w:val="20"/>
          <w:szCs w:val="20"/>
        </w:rPr>
        <w:t xml:space="preserve"> fonds propres de la collectivité.</w:t>
      </w:r>
    </w:p>
    <w:p w14:paraId="5AA9FC74" w14:textId="77777777" w:rsidR="00D17097" w:rsidRDefault="00D17097">
      <w:pPr>
        <w:pStyle w:val="Retraitcorpsdetexte"/>
        <w:ind w:left="0" w:firstLine="0"/>
        <w:rPr>
          <w:sz w:val="20"/>
          <w:szCs w:val="20"/>
        </w:rPr>
      </w:pPr>
    </w:p>
    <w:p w14:paraId="4646C1E9" w14:textId="77777777" w:rsidR="00D17097" w:rsidRDefault="00602483">
      <w:pPr>
        <w:pStyle w:val="Titre21"/>
      </w:pPr>
      <w:bookmarkStart w:id="23" w:name="_Toc464134972"/>
      <w:r>
        <w:t>4.3 – Forme juridique que devra revêtir le groupement d’entrepreneurs, de fournisseurs ou de prestataires de services</w:t>
      </w:r>
      <w:bookmarkEnd w:id="23"/>
    </w:p>
    <w:p w14:paraId="2389E455" w14:textId="77777777" w:rsidR="00D17097" w:rsidRDefault="00D17097">
      <w:pPr>
        <w:pStyle w:val="Corpsdetexte"/>
        <w:rPr>
          <w:rFonts w:ascii="Arial" w:hAnsi="Arial" w:cs="Arial"/>
        </w:rPr>
      </w:pPr>
    </w:p>
    <w:p w14:paraId="7C095ECD" w14:textId="77777777" w:rsidR="00D17097" w:rsidRDefault="00602483">
      <w:pPr>
        <w:spacing w:after="240" w:line="233" w:lineRule="exact"/>
        <w:ind w:left="20" w:right="-1" w:hanging="20"/>
        <w:jc w:val="both"/>
        <w:rPr>
          <w:rFonts w:ascii="Arial" w:eastAsia="Trebuchet MS" w:hAnsi="Arial" w:cs="Arial"/>
          <w:color w:val="000000"/>
          <w:szCs w:val="24"/>
          <w:lang w:eastAsia="en-US"/>
        </w:rPr>
      </w:pPr>
      <w:r>
        <w:rPr>
          <w:rFonts w:ascii="Arial" w:eastAsia="Trebuchet MS" w:hAnsi="Arial" w:cs="Arial"/>
          <w:color w:val="000000"/>
          <w:szCs w:val="24"/>
          <w:lang w:eastAsia="en-US"/>
        </w:rPr>
        <w:t>Le pouvoir adjudicateur ne souhaite imposer aucune forme de groupement à l'attributaire du marché.</w:t>
      </w:r>
    </w:p>
    <w:p w14:paraId="0E86DB15" w14:textId="77777777" w:rsidR="00D17097" w:rsidRDefault="00602483">
      <w:pPr>
        <w:spacing w:line="233" w:lineRule="exact"/>
        <w:ind w:left="20" w:right="-1" w:hanging="20"/>
        <w:jc w:val="both"/>
      </w:pPr>
      <w:r>
        <w:rPr>
          <w:rFonts w:ascii="Arial" w:eastAsia="Trebuchet MS" w:hAnsi="Arial" w:cs="Arial"/>
          <w:color w:val="000000"/>
          <w:szCs w:val="24"/>
          <w:lang w:eastAsia="en-US"/>
        </w:rPr>
        <w:t>Il est interdit aux candidats de présenter plusieurs offres en agissant à la fois en qualité de candidats individuels et de membres d'un ou plusieurs groupements ou en qualité de membres de plusieurs groupements.</w:t>
      </w:r>
      <w:r>
        <w:rPr>
          <w:rFonts w:ascii="Arial" w:eastAsia="Trebuchet MS" w:hAnsi="Arial" w:cs="Arial"/>
          <w:color w:val="000000"/>
          <w:szCs w:val="24"/>
          <w:lang w:eastAsia="en-US"/>
        </w:rPr>
        <w:br/>
      </w:r>
    </w:p>
    <w:p w14:paraId="668F6ACD" w14:textId="77777777" w:rsidR="00D17097" w:rsidRDefault="00602483">
      <w:pPr>
        <w:pStyle w:val="Titre21"/>
      </w:pPr>
      <w:bookmarkStart w:id="24" w:name="_Toc464134973"/>
      <w:r>
        <w:t>4.4 – Sous-traitance</w:t>
      </w:r>
      <w:bookmarkEnd w:id="24"/>
    </w:p>
    <w:p w14:paraId="270120D4" w14:textId="77777777" w:rsidR="00D17097" w:rsidRDefault="00D17097">
      <w:pPr>
        <w:rPr>
          <w:rFonts w:ascii="Arial" w:hAnsi="Arial" w:cs="Arial"/>
          <w:sz w:val="22"/>
          <w:szCs w:val="22"/>
        </w:rPr>
      </w:pPr>
    </w:p>
    <w:p w14:paraId="71551D22" w14:textId="77777777" w:rsidR="00D17097" w:rsidRDefault="00602483">
      <w:pPr>
        <w:ind w:right="-1"/>
        <w:jc w:val="both"/>
        <w:rPr>
          <w:rFonts w:ascii="Arial" w:hAnsi="Arial" w:cs="Arial"/>
        </w:rPr>
      </w:pPr>
      <w:r>
        <w:rPr>
          <w:rFonts w:ascii="Arial" w:hAnsi="Arial" w:cs="Arial"/>
        </w:rPr>
        <w:t>Le titulaire d’un marché public peut, sous sa responsabilité, sous-traiter l’exécution de certaines parties de son marché public dans les conditions fixées par l'article R.2193-1 et 3 du CCP du 05 Décembre 2018 à condition d’avoir obtenu de l’acheteur l’acceptation de chaque sous-traitant et l’agrément de ses conditions de paiement. La notification du marché public emporte acceptation du sous-traitant et agrément des conditions de paiement.</w:t>
      </w:r>
    </w:p>
    <w:p w14:paraId="694BA36D" w14:textId="77777777" w:rsidR="00D17097" w:rsidRDefault="00D17097">
      <w:pPr>
        <w:pStyle w:val="En-tte1"/>
        <w:tabs>
          <w:tab w:val="clear" w:pos="4536"/>
          <w:tab w:val="clear" w:pos="9072"/>
        </w:tabs>
        <w:jc w:val="both"/>
        <w:rPr>
          <w:rFonts w:ascii="Arial" w:hAnsi="Arial" w:cs="Arial"/>
        </w:rPr>
      </w:pPr>
    </w:p>
    <w:p w14:paraId="15C97307" w14:textId="77777777" w:rsidR="00D17097" w:rsidRDefault="00602483">
      <w:pPr>
        <w:pStyle w:val="En-tte1"/>
        <w:tabs>
          <w:tab w:val="clear" w:pos="4536"/>
          <w:tab w:val="clear" w:pos="9072"/>
        </w:tabs>
        <w:jc w:val="both"/>
        <w:rPr>
          <w:rFonts w:ascii="Arial" w:hAnsi="Arial" w:cs="Arial"/>
        </w:rPr>
      </w:pPr>
      <w:r>
        <w:rPr>
          <w:rFonts w:ascii="Arial" w:hAnsi="Arial" w:cs="Arial"/>
        </w:rPr>
        <w:t>Les soumissionnaires indiquent dans leur offre la part du marché public qu’ils ont l’intention de sous-traiter à des tiers, notamment à des petites et moyennes entreprises au sens de la recommandation de la Commission du 6 mai 2003 ou à des artisans au sens de l’article 19 de la loi du 5 juillet 1996.</w:t>
      </w:r>
    </w:p>
    <w:p w14:paraId="6C4E92A1" w14:textId="77777777" w:rsidR="00D17097" w:rsidRDefault="00D17097">
      <w:pPr>
        <w:pStyle w:val="En-tte1"/>
        <w:tabs>
          <w:tab w:val="clear" w:pos="4536"/>
          <w:tab w:val="clear" w:pos="9072"/>
        </w:tabs>
        <w:jc w:val="both"/>
        <w:rPr>
          <w:rFonts w:ascii="Arial" w:hAnsi="Arial" w:cs="Arial"/>
        </w:rPr>
      </w:pPr>
    </w:p>
    <w:p w14:paraId="1D5C2872" w14:textId="77777777" w:rsidR="00D17097" w:rsidRDefault="00602483">
      <w:pPr>
        <w:pStyle w:val="En-tte1"/>
        <w:tabs>
          <w:tab w:val="clear" w:pos="4536"/>
          <w:tab w:val="clear" w:pos="9072"/>
        </w:tabs>
        <w:jc w:val="both"/>
        <w:rPr>
          <w:rFonts w:ascii="Arial" w:hAnsi="Arial" w:cs="Arial"/>
        </w:rPr>
      </w:pPr>
      <w:r>
        <w:rPr>
          <w:rFonts w:ascii="Arial" w:hAnsi="Arial" w:cs="Arial"/>
        </w:rPr>
        <w:t>L’acceptation de chaque sous-traitant et l’agrément de ses conditions de paiement sont demandés dans les conditions de l'article R.2162 du CCP du 05 Décembre 2018 relatif aux marchés publics.</w:t>
      </w:r>
    </w:p>
    <w:p w14:paraId="73885DED" w14:textId="77777777" w:rsidR="00D17097" w:rsidRDefault="00D17097">
      <w:pPr>
        <w:jc w:val="both"/>
        <w:rPr>
          <w:rFonts w:ascii="Arial" w:hAnsi="Arial" w:cs="Arial"/>
        </w:rPr>
      </w:pPr>
    </w:p>
    <w:p w14:paraId="518835FF" w14:textId="77777777" w:rsidR="00D17097" w:rsidRDefault="00602483">
      <w:pPr>
        <w:pStyle w:val="Titre21"/>
      </w:pPr>
      <w:bookmarkStart w:id="25" w:name="_Toc464134974"/>
      <w:r>
        <w:t>4.5 – Contenu et caractéristiques du prix</w:t>
      </w:r>
      <w:bookmarkEnd w:id="25"/>
    </w:p>
    <w:p w14:paraId="718C5CDD" w14:textId="77777777" w:rsidR="00D17097" w:rsidRDefault="00D17097">
      <w:pPr>
        <w:tabs>
          <w:tab w:val="left" w:pos="11057"/>
        </w:tabs>
        <w:jc w:val="both"/>
        <w:rPr>
          <w:rFonts w:ascii="Arial" w:hAnsi="Arial" w:cs="Arial"/>
        </w:rPr>
      </w:pPr>
    </w:p>
    <w:p w14:paraId="30D37356" w14:textId="77777777" w:rsidR="00D17097" w:rsidRDefault="00602483">
      <w:pPr>
        <w:ind w:right="-34"/>
        <w:jc w:val="both"/>
        <w:rPr>
          <w:rFonts w:ascii="Arial" w:hAnsi="Arial" w:cs="Arial"/>
        </w:rPr>
      </w:pPr>
      <w:r>
        <w:rPr>
          <w:rFonts w:ascii="Arial" w:hAnsi="Arial" w:cs="Arial"/>
        </w:rPr>
        <w:t>Prix global et forfaitaire. Le contenu et les caractéristiques du prix sont précisés dans le cahier des clauses administratives particulières.</w:t>
      </w:r>
    </w:p>
    <w:p w14:paraId="3AFC7732" w14:textId="77777777" w:rsidR="00D17097" w:rsidRDefault="00D17097">
      <w:pPr>
        <w:ind w:right="-34"/>
        <w:jc w:val="both"/>
        <w:rPr>
          <w:rFonts w:ascii="Arial" w:hAnsi="Arial" w:cs="Arial"/>
        </w:rPr>
      </w:pPr>
    </w:p>
    <w:p w14:paraId="0275818D" w14:textId="77777777" w:rsidR="00D17097" w:rsidRDefault="00602483">
      <w:pPr>
        <w:pStyle w:val="Titre21"/>
      </w:pPr>
      <w:bookmarkStart w:id="26" w:name="_Toc464134975"/>
      <w:r>
        <w:t>4.6 – Avances</w:t>
      </w:r>
      <w:bookmarkEnd w:id="26"/>
    </w:p>
    <w:p w14:paraId="70F79D2A" w14:textId="77777777" w:rsidR="00D17097" w:rsidRDefault="00D17097">
      <w:pPr>
        <w:ind w:right="-34"/>
        <w:jc w:val="both"/>
        <w:rPr>
          <w:rFonts w:ascii="Arial" w:hAnsi="Arial" w:cs="Arial"/>
        </w:rPr>
      </w:pPr>
    </w:p>
    <w:p w14:paraId="66555523" w14:textId="77777777" w:rsidR="00D17097" w:rsidRDefault="00602483">
      <w:pPr>
        <w:jc w:val="both"/>
        <w:rPr>
          <w:rFonts w:ascii="Arial" w:hAnsi="Arial" w:cs="Arial"/>
        </w:rPr>
      </w:pPr>
      <w:r>
        <w:rPr>
          <w:rFonts w:ascii="Arial" w:hAnsi="Arial" w:cs="Arial"/>
        </w:rPr>
        <w:t>Le versement d’une avance est prévu dans les conditions fixées par le cahier des clauses administratives particulières.</w:t>
      </w:r>
    </w:p>
    <w:p w14:paraId="72AFFA73" w14:textId="77777777" w:rsidR="00D17097" w:rsidRDefault="00D17097">
      <w:pPr>
        <w:ind w:right="-34"/>
        <w:jc w:val="both"/>
        <w:rPr>
          <w:rFonts w:ascii="Arial" w:hAnsi="Arial" w:cs="Arial"/>
        </w:rPr>
      </w:pPr>
    </w:p>
    <w:p w14:paraId="64280CB4" w14:textId="77777777" w:rsidR="00D17097" w:rsidRDefault="00602483">
      <w:pPr>
        <w:pStyle w:val="Titre21"/>
      </w:pPr>
      <w:bookmarkStart w:id="27" w:name="_Toc464134976"/>
      <w:r>
        <w:t>4.7 – Résiliation du marché</w:t>
      </w:r>
      <w:bookmarkEnd w:id="27"/>
    </w:p>
    <w:p w14:paraId="6F7C4A34" w14:textId="77777777" w:rsidR="00D17097" w:rsidRDefault="00D17097">
      <w:pPr>
        <w:rPr>
          <w:rFonts w:ascii="Arial" w:hAnsi="Arial" w:cs="Arial"/>
          <w:b/>
        </w:rPr>
      </w:pPr>
    </w:p>
    <w:p w14:paraId="0E378D8D" w14:textId="77777777" w:rsidR="00D17097" w:rsidRDefault="00602483">
      <w:pPr>
        <w:jc w:val="both"/>
        <w:rPr>
          <w:rFonts w:ascii="Arial" w:hAnsi="Arial" w:cs="Arial"/>
        </w:rPr>
      </w:pPr>
      <w:r>
        <w:rPr>
          <w:rFonts w:ascii="Arial" w:hAnsi="Arial" w:cs="Arial"/>
        </w:rPr>
        <w:t>Les conditions de résiliation sont celles des articles du cahier des clauses administratives particulières et du cahier des clauses administratives générales (C.C.A.G. Travaux).</w:t>
      </w:r>
    </w:p>
    <w:p w14:paraId="043E19FE" w14:textId="77777777" w:rsidR="00D17097" w:rsidRDefault="00D17097">
      <w:pPr>
        <w:ind w:right="-34" w:firstLine="851"/>
        <w:jc w:val="both"/>
        <w:rPr>
          <w:rFonts w:ascii="Arial" w:hAnsi="Arial" w:cs="Arial"/>
        </w:rPr>
      </w:pPr>
    </w:p>
    <w:p w14:paraId="5D77C87D" w14:textId="77777777" w:rsidR="00D17097" w:rsidRDefault="00602483">
      <w:pPr>
        <w:pStyle w:val="Titre11"/>
      </w:pPr>
      <w:bookmarkStart w:id="28" w:name="_Toc464134977"/>
      <w:r>
        <w:t>ARTICLE 5 – MODALITES D’OBTENTION DU DOSSIER DE CONSULTATION</w:t>
      </w:r>
      <w:bookmarkEnd w:id="28"/>
    </w:p>
    <w:p w14:paraId="57534B7C" w14:textId="77777777" w:rsidR="00D17097" w:rsidRDefault="00D17097">
      <w:pPr>
        <w:jc w:val="both"/>
        <w:rPr>
          <w:rFonts w:ascii="Arial" w:hAnsi="Arial" w:cs="Arial"/>
          <w:b/>
        </w:rPr>
      </w:pPr>
    </w:p>
    <w:p w14:paraId="3183B95A" w14:textId="77777777" w:rsidR="00D17097" w:rsidRDefault="00602483">
      <w:pPr>
        <w:spacing w:line="233" w:lineRule="exact"/>
        <w:jc w:val="both"/>
      </w:pPr>
      <w:r>
        <w:rPr>
          <w:rFonts w:ascii="Arial" w:eastAsia="Trebuchet MS" w:hAnsi="Arial" w:cs="Arial"/>
          <w:lang w:eastAsia="en-US"/>
        </w:rPr>
        <w:t xml:space="preserve">En application de l’article R2132-2 et suivants du code de la commande publique, les soumissionnaires devront télécharger les documents dématérialisés du Dossier de Consultation des Entreprises (DCE), documents et renseignements complémentaires </w:t>
      </w:r>
      <w:r>
        <w:rPr>
          <w:rFonts w:ascii="ArialMT" w:eastAsia="Trebuchet MS" w:hAnsi="ArialMT" w:cs="Arial"/>
          <w:lang w:eastAsia="en-US"/>
        </w:rPr>
        <w:t>ainsi que l'avis d'appel public à la</w:t>
      </w:r>
    </w:p>
    <w:p w14:paraId="256A7B5A" w14:textId="77777777" w:rsidR="00D17097" w:rsidRDefault="001F5C94">
      <w:proofErr w:type="gramStart"/>
      <w:r>
        <w:rPr>
          <w:rFonts w:ascii="ArialMT" w:hAnsi="ArialMT"/>
        </w:rPr>
        <w:t>concurrence</w:t>
      </w:r>
      <w:proofErr w:type="gramEnd"/>
      <w:r w:rsidR="00602483">
        <w:rPr>
          <w:rFonts w:ascii="ArialMT" w:hAnsi="ArialMT"/>
        </w:rPr>
        <w:t xml:space="preserve"> le cas échéant, via la plateforme du Centre de Gestion du Nord (CDG59) à l’adresse du</w:t>
      </w:r>
    </w:p>
    <w:p w14:paraId="010AF461" w14:textId="71AEB866" w:rsidR="00D17097" w:rsidRDefault="00602483">
      <w:pPr>
        <w:spacing w:line="233" w:lineRule="exact"/>
        <w:jc w:val="both"/>
        <w:rPr>
          <w:rFonts w:ascii="Arial" w:eastAsia="Trebuchet MS" w:hAnsi="Arial" w:cs="Arial"/>
          <w:color w:val="000000"/>
          <w:highlight w:val="yellow"/>
          <w:lang w:eastAsia="en-US"/>
        </w:rPr>
      </w:pPr>
      <w:proofErr w:type="gramStart"/>
      <w:r>
        <w:rPr>
          <w:rFonts w:ascii="ArialMT" w:hAnsi="ArialMT"/>
        </w:rPr>
        <w:t>profil</w:t>
      </w:r>
      <w:proofErr w:type="gramEnd"/>
      <w:r>
        <w:rPr>
          <w:rFonts w:ascii="ArialMT" w:hAnsi="ArialMT"/>
        </w:rPr>
        <w:t xml:space="preserve"> acheteur : </w:t>
      </w:r>
      <w:r w:rsidR="00784DF8">
        <w:rPr>
          <w:rFonts w:ascii="ArialMT" w:hAnsi="ArialMT"/>
        </w:rPr>
        <w:t>marchés-sécurisés.fr</w:t>
      </w:r>
    </w:p>
    <w:p w14:paraId="1C4DE80F" w14:textId="77777777" w:rsidR="00D17097" w:rsidRDefault="00602483">
      <w:pPr>
        <w:jc w:val="both"/>
        <w:rPr>
          <w:rFonts w:ascii="Arial" w:eastAsia="Trebuchet MS" w:hAnsi="Arial" w:cs="Arial"/>
          <w:color w:val="000000"/>
          <w:lang w:eastAsia="en-US"/>
        </w:rPr>
      </w:pPr>
      <w:r>
        <w:rPr>
          <w:rFonts w:ascii="Arial" w:eastAsia="Trebuchet MS" w:hAnsi="Arial" w:cs="Arial"/>
          <w:color w:val="000000"/>
          <w:lang w:eastAsia="en-US"/>
        </w:rPr>
        <w:t>Lors du téléchargement du dossier de consultation, le candidat est invité à renseigner le nom de l'organisme soumissionnaire, le nom de la personne physique téléchargeant les documents et une adresse électronique permettant de façon certaine une correspondance électronique, afin qu'il puisse bénéficier de toutes les informations complémentaires diffusées lors du déroulement de la présente consultation, en particulier les éventuelles précisions ou report de délais.</w:t>
      </w:r>
    </w:p>
    <w:p w14:paraId="73CC517A" w14:textId="77777777" w:rsidR="00D17097" w:rsidRDefault="00D17097">
      <w:pPr>
        <w:jc w:val="both"/>
        <w:rPr>
          <w:rFonts w:ascii="Arial" w:eastAsia="Trebuchet MS" w:hAnsi="Arial" w:cs="Arial"/>
          <w:color w:val="000000"/>
          <w:lang w:val="en-US" w:eastAsia="en-US"/>
        </w:rPr>
      </w:pPr>
    </w:p>
    <w:p w14:paraId="005EAC59" w14:textId="77777777" w:rsidR="00D17097" w:rsidRDefault="00602483">
      <w:pPr>
        <w:jc w:val="both"/>
        <w:rPr>
          <w:rFonts w:ascii="Arial" w:eastAsia="Trebuchet MS" w:hAnsi="Arial" w:cs="Arial"/>
          <w:color w:val="000000"/>
          <w:lang w:eastAsia="en-US"/>
        </w:rPr>
      </w:pPr>
      <w:r>
        <w:rPr>
          <w:rFonts w:ascii="Arial" w:eastAsia="Trebuchet MS" w:hAnsi="Arial" w:cs="Arial"/>
          <w:color w:val="000000"/>
          <w:lang w:eastAsia="en-US"/>
        </w:rPr>
        <w:lastRenderedPageBreak/>
        <w:t>Le candidat ne pourra porter aucune réclamation s'il ne bénéficie pas de toutes les informations complémentaires diffusées par la plateforme de dématérialisation lors du déroulement de la présente consultation, en raison d'une erreur qu'il aurait faite dans la saisie de son adresse électronique, ou en cas de suppression de ladite adresse électronique.</w:t>
      </w:r>
    </w:p>
    <w:p w14:paraId="4B06874E" w14:textId="77777777" w:rsidR="00D17097" w:rsidRDefault="00D17097">
      <w:pPr>
        <w:jc w:val="both"/>
        <w:rPr>
          <w:rFonts w:ascii="Arial" w:eastAsia="Trebuchet MS" w:hAnsi="Arial" w:cs="Arial"/>
          <w:color w:val="000000"/>
          <w:highlight w:val="yellow"/>
          <w:lang w:eastAsia="en-US"/>
        </w:rPr>
      </w:pPr>
    </w:p>
    <w:p w14:paraId="5481A549" w14:textId="77777777" w:rsidR="00D17097" w:rsidRDefault="00602483">
      <w:pPr>
        <w:jc w:val="both"/>
        <w:rPr>
          <w:rFonts w:ascii="Arial" w:eastAsia="Trebuchet MS" w:hAnsi="Arial" w:cs="Arial"/>
          <w:color w:val="000000"/>
          <w:lang w:eastAsia="en-US"/>
        </w:rPr>
      </w:pPr>
      <w:r>
        <w:rPr>
          <w:rFonts w:ascii="Arial" w:eastAsia="Trebuchet MS" w:hAnsi="Arial" w:cs="Arial"/>
          <w:color w:val="000000"/>
          <w:lang w:eastAsia="en-US"/>
        </w:rPr>
        <w:t>Le pouvoir adjudicateur se réserve le droit d'apporter des modifications de détail au dossier de consultation au plus tard 8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0CAEC39B" w14:textId="77777777" w:rsidR="00D17097" w:rsidRDefault="00D17097">
      <w:pPr>
        <w:jc w:val="both"/>
        <w:rPr>
          <w:rFonts w:ascii="Arial" w:eastAsia="Trebuchet MS" w:hAnsi="Arial" w:cs="Arial"/>
          <w:color w:val="000000"/>
          <w:lang w:eastAsia="en-US"/>
        </w:rPr>
      </w:pPr>
    </w:p>
    <w:p w14:paraId="2792BBDF" w14:textId="77777777" w:rsidR="00D17097" w:rsidRDefault="00602483">
      <w:pPr>
        <w:spacing w:after="140"/>
        <w:jc w:val="both"/>
        <w:rPr>
          <w:rFonts w:ascii="Arial" w:eastAsia="Trebuchet MS" w:hAnsi="Arial" w:cs="Arial"/>
          <w:color w:val="000000"/>
          <w:lang w:eastAsia="en-US"/>
        </w:rPr>
      </w:pPr>
      <w:r>
        <w:rPr>
          <w:rFonts w:ascii="Arial" w:eastAsia="Trebuchet MS" w:hAnsi="Arial" w:cs="Arial"/>
          <w:color w:val="000000"/>
          <w:lang w:eastAsia="en-US"/>
        </w:rPr>
        <w:t>Si, pendant l'étude du dossier par les candidats, la date limite de réception des offres est reportée, la disposition précédente est applicable en fonction de cette nouvelle date.</w:t>
      </w:r>
    </w:p>
    <w:p w14:paraId="433E1415" w14:textId="77777777" w:rsidR="00D17097" w:rsidRDefault="00D17097"/>
    <w:p w14:paraId="3F953AB4" w14:textId="77777777" w:rsidR="00D17097" w:rsidRDefault="00602483">
      <w:pPr>
        <w:pStyle w:val="Titre11"/>
      </w:pPr>
      <w:bookmarkStart w:id="29" w:name="_Toc464134978"/>
      <w:r>
        <w:t>ARTICLE 6 – CONDITIONS D’ENVOI ET DE REMISE DES OFFRES</w:t>
      </w:r>
      <w:bookmarkEnd w:id="29"/>
    </w:p>
    <w:p w14:paraId="5AF9D365" w14:textId="77777777" w:rsidR="00D17097" w:rsidRDefault="00602483">
      <w:pPr>
        <w:pStyle w:val="En-tte1"/>
        <w:tabs>
          <w:tab w:val="clear" w:pos="4536"/>
          <w:tab w:val="clear" w:pos="9072"/>
        </w:tabs>
        <w:jc w:val="both"/>
        <w:rPr>
          <w:rFonts w:ascii="Arial" w:hAnsi="Arial" w:cs="Arial"/>
        </w:rPr>
      </w:pPr>
      <w:r>
        <w:rPr>
          <w:rFonts w:ascii="Arial" w:hAnsi="Arial" w:cs="Arial"/>
        </w:rPr>
        <w:t xml:space="preserve"> </w:t>
      </w:r>
    </w:p>
    <w:p w14:paraId="3D2FB8E3" w14:textId="77777777" w:rsidR="00D17097" w:rsidRDefault="00602483">
      <w:pPr>
        <w:spacing w:after="240"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Les plis devront parvenir à destination avant la date et l'heure limites de réception des offres indiquées sur la page de garde du présent document.</w:t>
      </w:r>
    </w:p>
    <w:p w14:paraId="6AD4A538" w14:textId="77777777" w:rsidR="00D17097" w:rsidRDefault="00602483">
      <w:pPr>
        <w:keepNext/>
        <w:spacing w:after="60"/>
        <w:ind w:left="300" w:right="20"/>
        <w:outlineLvl w:val="1"/>
        <w:rPr>
          <w:rFonts w:ascii="Arial" w:eastAsia="Trebuchet MS" w:hAnsi="Arial" w:cs="Arial"/>
          <w:b/>
          <w:bCs/>
          <w:iCs/>
          <w:color w:val="000000"/>
          <w:lang w:eastAsia="en-US"/>
        </w:rPr>
      </w:pPr>
      <w:bookmarkStart w:id="30" w:name="_Toc256000017"/>
      <w:r>
        <w:rPr>
          <w:rFonts w:ascii="Arial" w:eastAsia="Trebuchet MS" w:hAnsi="Arial" w:cs="Arial"/>
          <w:b/>
          <w:bCs/>
          <w:iCs/>
          <w:color w:val="000000"/>
          <w:lang w:eastAsia="en-US"/>
        </w:rPr>
        <w:t>6.1 - Transmission électronique</w:t>
      </w:r>
      <w:bookmarkEnd w:id="30"/>
    </w:p>
    <w:p w14:paraId="7AD33D7E" w14:textId="77777777" w:rsidR="00D17097" w:rsidRDefault="00602483">
      <w:pPr>
        <w:spacing w:line="233" w:lineRule="exact"/>
        <w:ind w:left="20" w:right="20"/>
        <w:jc w:val="both"/>
      </w:pPr>
      <w:r>
        <w:rPr>
          <w:rFonts w:ascii="Arial" w:eastAsia="Trebuchet MS" w:hAnsi="Arial" w:cs="Arial"/>
          <w:color w:val="000000"/>
          <w:lang w:eastAsia="en-US"/>
        </w:rPr>
        <w:t xml:space="preserve">La transmission des documents par voie électronique est effectuée sur le profil d'acheteur du pouvoir adjudicateur, </w:t>
      </w:r>
      <w:r>
        <w:rPr>
          <w:rFonts w:ascii="ArialMT" w:eastAsia="Trebuchet MS" w:hAnsi="ArialMT" w:cs="Arial"/>
          <w:color w:val="000000"/>
          <w:lang w:eastAsia="en-US"/>
        </w:rPr>
        <w:t>via la plateforme du Centre de Gestion du Nord (CDG59) à l</w:t>
      </w:r>
      <w:r>
        <w:rPr>
          <w:rFonts w:ascii="ArialMT" w:hAnsi="ArialMT"/>
        </w:rPr>
        <w:t>’adresse du profil acheteur :</w:t>
      </w:r>
    </w:p>
    <w:p w14:paraId="14EAF733" w14:textId="365CE8F7" w:rsidR="00D17097" w:rsidRDefault="00784DF8">
      <w:pPr>
        <w:spacing w:line="233" w:lineRule="exact"/>
        <w:ind w:left="20" w:right="20"/>
        <w:jc w:val="both"/>
        <w:rPr>
          <w:rFonts w:ascii="Arial" w:eastAsia="Trebuchet MS" w:hAnsi="Arial" w:cs="Arial"/>
          <w:color w:val="000000"/>
          <w:lang w:eastAsia="en-US"/>
        </w:rPr>
      </w:pPr>
      <w:r>
        <w:rPr>
          <w:rStyle w:val="LienInternet"/>
          <w:rFonts w:ascii="ArialMT" w:hAnsi="ArialMT"/>
        </w:rPr>
        <w:t>marchés-sécurisés.fr</w:t>
      </w:r>
    </w:p>
    <w:p w14:paraId="151A0CB6" w14:textId="77777777" w:rsidR="00D17097" w:rsidRDefault="00602483">
      <w:pPr>
        <w:spacing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En revanche, la transmission des documents sur un support physique électronique (CD-ROM, clé usb...) n'est pas autorisée.</w:t>
      </w:r>
    </w:p>
    <w:p w14:paraId="236669E7" w14:textId="77777777" w:rsidR="00D17097" w:rsidRDefault="00D17097">
      <w:pPr>
        <w:spacing w:line="233" w:lineRule="exact"/>
        <w:ind w:left="20" w:right="20"/>
        <w:jc w:val="both"/>
        <w:rPr>
          <w:rFonts w:ascii="Arial" w:eastAsia="Trebuchet MS" w:hAnsi="Arial" w:cs="Arial"/>
          <w:color w:val="000000"/>
          <w:lang w:eastAsia="en-US"/>
        </w:rPr>
      </w:pPr>
    </w:p>
    <w:p w14:paraId="2AF976D8" w14:textId="77777777" w:rsidR="00D17097" w:rsidRDefault="00602483">
      <w:pPr>
        <w:spacing w:after="240"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Le choix du mode de transmission est global et irréversible. Les candidats doivent appliquer le même mode de transmission à l'ensemble des documents transmis au pouvoir adjudicateur.</w:t>
      </w:r>
    </w:p>
    <w:p w14:paraId="3F511196" w14:textId="77777777" w:rsidR="00D17097" w:rsidRDefault="00602483">
      <w:pPr>
        <w:spacing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Le pli doit contenir deux dossiers distincts comportant respectivement les pièces de la candidature et les pièces de l'offre définies au présent règlement de la consultation.</w:t>
      </w:r>
    </w:p>
    <w:p w14:paraId="241C8E85" w14:textId="77777777" w:rsidR="00D17097" w:rsidRDefault="00D17097">
      <w:pPr>
        <w:spacing w:line="233" w:lineRule="exact"/>
        <w:ind w:left="20" w:right="20"/>
        <w:jc w:val="both"/>
        <w:rPr>
          <w:rFonts w:ascii="Arial" w:eastAsia="Trebuchet MS" w:hAnsi="Arial" w:cs="Arial"/>
          <w:color w:val="000000"/>
          <w:lang w:eastAsia="en-US"/>
        </w:rPr>
      </w:pPr>
    </w:p>
    <w:p w14:paraId="769454C9" w14:textId="77777777" w:rsidR="00D17097" w:rsidRDefault="00602483">
      <w:pPr>
        <w:spacing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Chaque transmission fera l'objet d'une date certaine de réception et d'un accusé de réception électronique. A ce titre, le fuseau horaire de référence est celui de (GMT+</w:t>
      </w:r>
      <w:proofErr w:type="gramStart"/>
      <w:r>
        <w:rPr>
          <w:rFonts w:ascii="Arial" w:eastAsia="Trebuchet MS" w:hAnsi="Arial" w:cs="Arial"/>
          <w:color w:val="000000"/>
          <w:lang w:eastAsia="en-US"/>
        </w:rPr>
        <w:t>01:</w:t>
      </w:r>
      <w:proofErr w:type="gramEnd"/>
      <w:r>
        <w:rPr>
          <w:rFonts w:ascii="Arial" w:eastAsia="Trebuchet MS" w:hAnsi="Arial" w:cs="Arial"/>
          <w:color w:val="000000"/>
          <w:lang w:eastAsia="en-US"/>
        </w:rPr>
        <w:t>00) Paris, Bruxelles, Copenhague, Madrid. Le pli sera considéré « hors délai » si le téléchargement se termine après la date et l'heure limites de réception des offres.</w:t>
      </w:r>
    </w:p>
    <w:p w14:paraId="3385A65F" w14:textId="77777777" w:rsidR="00D17097" w:rsidRDefault="00D17097">
      <w:pPr>
        <w:spacing w:line="233" w:lineRule="exact"/>
        <w:ind w:left="20" w:right="20"/>
        <w:jc w:val="both"/>
        <w:rPr>
          <w:rFonts w:ascii="Arial" w:eastAsia="Trebuchet MS" w:hAnsi="Arial" w:cs="Arial"/>
          <w:color w:val="000000"/>
          <w:lang w:eastAsia="en-US"/>
        </w:rPr>
      </w:pPr>
    </w:p>
    <w:p w14:paraId="294C4E06" w14:textId="77777777" w:rsidR="00D17097" w:rsidRDefault="00602483">
      <w:pPr>
        <w:spacing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Si une nouvelle offre est envoyée par voie électronique par le même candidat, celle-ci annule et remplace l'offre précédente.</w:t>
      </w:r>
    </w:p>
    <w:p w14:paraId="6F5A08E7" w14:textId="77777777" w:rsidR="00D17097" w:rsidRDefault="00D17097">
      <w:pPr>
        <w:spacing w:line="233" w:lineRule="exact"/>
        <w:ind w:left="20" w:right="20"/>
        <w:jc w:val="both"/>
        <w:rPr>
          <w:rFonts w:ascii="Arial" w:eastAsia="Trebuchet MS" w:hAnsi="Arial" w:cs="Arial"/>
          <w:color w:val="000000"/>
          <w:lang w:eastAsia="en-US"/>
        </w:rPr>
      </w:pPr>
    </w:p>
    <w:p w14:paraId="6C14861E" w14:textId="77777777" w:rsidR="00D17097" w:rsidRDefault="00602483">
      <w:pPr>
        <w:spacing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Le pli peut être doublé d'une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6A6A2502" w14:textId="77777777" w:rsidR="00D17097" w:rsidRDefault="00602483">
      <w:pPr>
        <w:spacing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 lorsqu'un programme informatique malveillant est détecté dans le pli transmis par voie électronique ;</w:t>
      </w:r>
    </w:p>
    <w:p w14:paraId="051A9E2A" w14:textId="77777777" w:rsidR="00D17097" w:rsidRDefault="00602483">
      <w:pPr>
        <w:spacing w:after="240"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 lorsque le pli électronique est reçu de façon incomplète, hors délai ou n'a pu être ouvert, à condition que sa transmission ait commencé avant la clôture de la remise des plis.</w:t>
      </w:r>
    </w:p>
    <w:p w14:paraId="69325BF7" w14:textId="77777777" w:rsidR="00D17097" w:rsidRDefault="00602483">
      <w:pPr>
        <w:spacing w:after="240"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Aucun format électronique n'est préconisé pour la transmission des documents. Cependant, les fichiers devront être transmis dans des formats largement disponibles.</w:t>
      </w:r>
    </w:p>
    <w:p w14:paraId="4BFF0119" w14:textId="77777777" w:rsidR="00D17097" w:rsidRDefault="00602483">
      <w:pPr>
        <w:spacing w:after="240"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La signature électronique des documents n'est pas exigée dans le cadre de cette consultation.</w:t>
      </w:r>
    </w:p>
    <w:p w14:paraId="10DA0B47" w14:textId="77777777" w:rsidR="00D17097" w:rsidRDefault="00602483">
      <w:pPr>
        <w:spacing w:after="240" w:line="233" w:lineRule="exact"/>
        <w:ind w:left="20" w:right="20"/>
        <w:jc w:val="both"/>
        <w:rPr>
          <w:rFonts w:ascii="Arial" w:eastAsia="Trebuchet MS" w:hAnsi="Arial" w:cs="Arial"/>
          <w:color w:val="000000"/>
          <w:lang w:eastAsia="en-US"/>
        </w:rPr>
      </w:pPr>
      <w:r>
        <w:rPr>
          <w:rFonts w:ascii="Arial" w:eastAsia="Trebuchet MS" w:hAnsi="Arial" w:cs="Arial"/>
          <w:color w:val="000000"/>
          <w:lang w:eastAsia="en-US"/>
        </w:rPr>
        <w:t>Après attribution, les candidats sont informés que l'offre électronique retenue sera transformée en offre papier, pour donner lieu à la signature manuscrite du marché par les parties.</w:t>
      </w:r>
    </w:p>
    <w:p w14:paraId="17EF6B8D" w14:textId="77777777" w:rsidR="00D17097" w:rsidRDefault="00602483">
      <w:pPr>
        <w:spacing w:line="233" w:lineRule="exact"/>
        <w:ind w:left="20" w:right="20"/>
        <w:jc w:val="both"/>
        <w:rPr>
          <w:sz w:val="2"/>
          <w:szCs w:val="24"/>
          <w:lang w:val="en-US" w:eastAsia="en-US"/>
        </w:rPr>
      </w:pPr>
      <w:r>
        <w:rPr>
          <w:rFonts w:ascii="Arial" w:eastAsia="Trebuchet MS" w:hAnsi="Arial" w:cs="Arial"/>
          <w:color w:val="000000"/>
          <w:lang w:eastAsia="en-US"/>
        </w:rPr>
        <w:t>Les frais d'accès au réseau et de recours à la signature électronique sont à la charge des candidats.</w:t>
      </w:r>
      <w:r>
        <w:rPr>
          <w:rFonts w:ascii="Arial" w:eastAsia="Trebuchet MS" w:hAnsi="Arial" w:cs="Arial"/>
          <w:color w:val="000000"/>
          <w:lang w:eastAsia="en-US"/>
        </w:rPr>
        <w:br/>
      </w:r>
    </w:p>
    <w:p w14:paraId="56FDC202" w14:textId="77777777" w:rsidR="00D17097" w:rsidRDefault="00602483">
      <w:pPr>
        <w:keepNext/>
        <w:spacing w:after="60"/>
        <w:ind w:left="300" w:right="20"/>
        <w:outlineLvl w:val="1"/>
        <w:rPr>
          <w:rFonts w:ascii="Arial" w:eastAsia="Trebuchet MS" w:hAnsi="Arial" w:cs="Arial"/>
          <w:b/>
          <w:bCs/>
          <w:iCs/>
          <w:color w:val="000000"/>
          <w:lang w:eastAsia="en-US"/>
        </w:rPr>
      </w:pPr>
      <w:bookmarkStart w:id="31" w:name="_Toc256000018"/>
      <w:r>
        <w:rPr>
          <w:rFonts w:ascii="Arial" w:eastAsia="Trebuchet MS" w:hAnsi="Arial" w:cs="Arial"/>
          <w:b/>
          <w:bCs/>
          <w:iCs/>
          <w:color w:val="000000"/>
          <w:lang w:eastAsia="en-US"/>
        </w:rPr>
        <w:lastRenderedPageBreak/>
        <w:t>6.2 - Transmission sous support papier</w:t>
      </w:r>
      <w:bookmarkEnd w:id="31"/>
    </w:p>
    <w:p w14:paraId="6008B2FF" w14:textId="77777777" w:rsidR="00D17097" w:rsidRDefault="00602483">
      <w:pPr>
        <w:spacing w:after="240" w:line="233" w:lineRule="exact"/>
        <w:ind w:left="20" w:right="20"/>
        <w:jc w:val="both"/>
        <w:rPr>
          <w:rFonts w:ascii="Arial" w:eastAsia="Trebuchet MS" w:hAnsi="Arial" w:cs="Arial"/>
          <w:color w:val="FF0000"/>
          <w:lang w:eastAsia="en-US"/>
        </w:rPr>
      </w:pPr>
      <w:r>
        <w:rPr>
          <w:rFonts w:ascii="Arial" w:eastAsia="Trebuchet MS" w:hAnsi="Arial" w:cs="Arial"/>
          <w:color w:val="000000"/>
          <w:lang w:eastAsia="en-US"/>
        </w:rPr>
        <w:t xml:space="preserve">La transmission des plis par voie électronique est imposée pour cette consultation. Par </w:t>
      </w:r>
      <w:r>
        <w:rPr>
          <w:rFonts w:ascii="Arial" w:eastAsia="Trebuchet MS" w:hAnsi="Arial" w:cs="Arial"/>
          <w:lang w:eastAsia="en-US"/>
        </w:rPr>
        <w:t>conséquent, la transmission par voie papier n'est pas autorisée.</w:t>
      </w:r>
    </w:p>
    <w:p w14:paraId="48C7CC89" w14:textId="77777777" w:rsidR="00D17097" w:rsidRDefault="00D17097">
      <w:pPr>
        <w:pStyle w:val="Titre11"/>
      </w:pPr>
    </w:p>
    <w:p w14:paraId="33FE6CD3" w14:textId="77777777" w:rsidR="00D17097" w:rsidRDefault="00602483">
      <w:pPr>
        <w:pStyle w:val="Titre11"/>
      </w:pPr>
      <w:bookmarkStart w:id="32" w:name="_Toc464134979"/>
      <w:r>
        <w:t>ARTICLE 7 – COMPOSITION DES OFFRES</w:t>
      </w:r>
      <w:bookmarkEnd w:id="32"/>
    </w:p>
    <w:p w14:paraId="42A1B850" w14:textId="77777777" w:rsidR="00D17097" w:rsidRDefault="00D17097">
      <w:pPr>
        <w:pStyle w:val="En-tte1"/>
        <w:tabs>
          <w:tab w:val="clear" w:pos="4536"/>
          <w:tab w:val="clear" w:pos="9072"/>
        </w:tabs>
        <w:jc w:val="both"/>
        <w:rPr>
          <w:rFonts w:ascii="Arial" w:hAnsi="Arial" w:cs="Arial"/>
        </w:rPr>
      </w:pPr>
    </w:p>
    <w:p w14:paraId="5128B0D9" w14:textId="77777777" w:rsidR="00D17097" w:rsidRDefault="00602483">
      <w:pPr>
        <w:pStyle w:val="En-tte1"/>
        <w:tabs>
          <w:tab w:val="left" w:pos="1276"/>
        </w:tabs>
        <w:jc w:val="both"/>
        <w:rPr>
          <w:rFonts w:ascii="Arial" w:hAnsi="Arial" w:cs="Arial"/>
        </w:rPr>
      </w:pPr>
      <w:r>
        <w:rPr>
          <w:rFonts w:ascii="Arial" w:hAnsi="Arial" w:cs="Arial"/>
        </w:rPr>
        <w:t>Les candidats auront à produire un dossier complet comprenant les pièces suivantes :</w:t>
      </w:r>
    </w:p>
    <w:p w14:paraId="2115623B" w14:textId="77777777" w:rsidR="00D17097" w:rsidRDefault="00D17097">
      <w:pPr>
        <w:pStyle w:val="En-tte1"/>
        <w:tabs>
          <w:tab w:val="left" w:pos="708"/>
        </w:tabs>
        <w:jc w:val="both"/>
        <w:rPr>
          <w:rFonts w:ascii="Arial" w:hAnsi="Arial" w:cs="Arial"/>
        </w:rPr>
      </w:pPr>
    </w:p>
    <w:p w14:paraId="4C662C67" w14:textId="77777777" w:rsidR="00D17097" w:rsidRDefault="00602483">
      <w:pPr>
        <w:pStyle w:val="Titre21"/>
      </w:pPr>
      <w:bookmarkStart w:id="33" w:name="_Toc464134980"/>
      <w:r>
        <w:t xml:space="preserve">7.1 </w:t>
      </w:r>
      <w:proofErr w:type="gramStart"/>
      <w:r>
        <w:t>–  Les</w:t>
      </w:r>
      <w:proofErr w:type="gramEnd"/>
      <w:r>
        <w:t xml:space="preserve"> justifications à produire quant aux qualités et capacités du candidat</w:t>
      </w:r>
      <w:bookmarkEnd w:id="33"/>
      <w:r>
        <w:t xml:space="preserve"> </w:t>
      </w:r>
    </w:p>
    <w:p w14:paraId="06C24363" w14:textId="77777777" w:rsidR="00D17097" w:rsidRDefault="00D17097"/>
    <w:p w14:paraId="659FE9E1" w14:textId="77777777" w:rsidR="00D17097" w:rsidRDefault="00D17097">
      <w:pPr>
        <w:pStyle w:val="En-tte1"/>
        <w:tabs>
          <w:tab w:val="left" w:pos="708"/>
        </w:tabs>
        <w:jc w:val="both"/>
        <w:rPr>
          <w:rFonts w:ascii="Arial" w:hAnsi="Arial" w:cs="Arial"/>
          <w:b/>
          <w:i/>
        </w:rPr>
      </w:pPr>
    </w:p>
    <w:p w14:paraId="42DC506D" w14:textId="77777777" w:rsidR="00D17097" w:rsidRDefault="00602483">
      <w:pPr>
        <w:spacing w:line="233" w:lineRule="exact"/>
        <w:jc w:val="both"/>
        <w:rPr>
          <w:rFonts w:ascii="Arial" w:eastAsia="Trebuchet MS" w:hAnsi="Arial" w:cs="Arial"/>
          <w:color w:val="000000"/>
          <w:lang w:eastAsia="en-US"/>
        </w:rPr>
      </w:pPr>
      <w:r>
        <w:rPr>
          <w:rFonts w:ascii="Arial" w:eastAsia="Trebuchet MS" w:hAnsi="Arial" w:cs="Arial"/>
          <w:color w:val="000000"/>
          <w:lang w:eastAsia="en-US"/>
        </w:rPr>
        <w:t>Les offres des candidats seront entièrement rédigées en langue française et exprimées en EURO.</w:t>
      </w:r>
    </w:p>
    <w:p w14:paraId="190650D3" w14:textId="77777777" w:rsidR="00D17097" w:rsidRDefault="00D17097">
      <w:pPr>
        <w:spacing w:line="233" w:lineRule="exact"/>
        <w:jc w:val="both"/>
        <w:rPr>
          <w:rFonts w:ascii="Arial" w:eastAsia="Trebuchet MS" w:hAnsi="Arial" w:cs="Arial"/>
          <w:color w:val="000000"/>
          <w:lang w:eastAsia="en-US"/>
        </w:rPr>
      </w:pPr>
    </w:p>
    <w:p w14:paraId="22575F5C" w14:textId="77777777" w:rsidR="00D17097" w:rsidRDefault="00602483">
      <w:pPr>
        <w:spacing w:after="240" w:line="233" w:lineRule="exact"/>
        <w:jc w:val="both"/>
        <w:rPr>
          <w:rFonts w:ascii="Arial" w:eastAsia="Trebuchet MS" w:hAnsi="Arial" w:cs="Arial"/>
          <w:color w:val="000000"/>
          <w:lang w:eastAsia="en-US"/>
        </w:rPr>
      </w:pPr>
      <w:r>
        <w:rPr>
          <w:rFonts w:ascii="Arial" w:eastAsia="Trebuchet MS" w:hAnsi="Arial" w:cs="Arial"/>
          <w:color w:val="000000"/>
          <w:lang w:eastAsia="en-US"/>
        </w:rPr>
        <w:t>Si les offres des candidats sont rédigées dans une autre langue, elles doivent être accompagnées d'une traduction en français, cette traduction doit concerner l'ensemble des documents remis dans l'offre.</w:t>
      </w:r>
    </w:p>
    <w:p w14:paraId="0CF20273" w14:textId="77777777" w:rsidR="00D17097" w:rsidRDefault="00602483">
      <w:pPr>
        <w:spacing w:line="233" w:lineRule="exact"/>
        <w:jc w:val="both"/>
        <w:rPr>
          <w:rFonts w:ascii="Arial" w:eastAsia="Trebuchet MS" w:hAnsi="Arial" w:cs="Arial"/>
          <w:color w:val="000000"/>
          <w:lang w:eastAsia="en-US"/>
        </w:rPr>
      </w:pPr>
      <w:r>
        <w:rPr>
          <w:rFonts w:ascii="Arial" w:eastAsia="Trebuchet MS" w:hAnsi="Arial" w:cs="Arial"/>
          <w:color w:val="000000"/>
          <w:lang w:eastAsia="en-US"/>
        </w:rPr>
        <w:t>Pièces de la candidature telles que prévues aux articles L. 2142-1, R. 2142-3, R. 2142-4, R. 2143-3 et R. 2143-4 du Code de la commande publique :</w:t>
      </w:r>
    </w:p>
    <w:p w14:paraId="3B54A7D4" w14:textId="77777777" w:rsidR="00D17097" w:rsidRDefault="00D17097">
      <w:pPr>
        <w:spacing w:line="233" w:lineRule="exact"/>
        <w:jc w:val="both"/>
        <w:rPr>
          <w:rFonts w:ascii="Arial" w:eastAsia="Trebuchet MS" w:hAnsi="Arial" w:cs="Arial"/>
          <w:color w:val="000000"/>
          <w:lang w:eastAsia="en-US"/>
        </w:rPr>
      </w:pPr>
    </w:p>
    <w:p w14:paraId="39B756BE" w14:textId="77777777" w:rsidR="00D17097" w:rsidRDefault="00602483">
      <w:pPr>
        <w:spacing w:line="233" w:lineRule="exact"/>
        <w:jc w:val="both"/>
        <w:rPr>
          <w:rFonts w:ascii="Arial" w:eastAsia="Trebuchet MS" w:hAnsi="Arial" w:cs="Arial"/>
          <w:color w:val="000000"/>
          <w:lang w:eastAsia="en-US"/>
        </w:rPr>
      </w:pPr>
      <w:r>
        <w:rPr>
          <w:rFonts w:ascii="Arial" w:eastAsia="Trebuchet MS" w:hAnsi="Arial" w:cs="Arial"/>
          <w:color w:val="000000"/>
          <w:lang w:eastAsia="en-US"/>
        </w:rPr>
        <w:t>Renseignements concernant la situation juridique de l'entreprise :</w:t>
      </w:r>
    </w:p>
    <w:p w14:paraId="498791FC" w14:textId="77777777" w:rsidR="00D17097" w:rsidRDefault="00D17097">
      <w:pPr>
        <w:spacing w:line="20" w:lineRule="exact"/>
        <w:rPr>
          <w:rFonts w:ascii="Arial" w:hAnsi="Arial" w:cs="Arial"/>
          <w:lang w:val="en-US" w:eastAsia="en-US"/>
        </w:rPr>
      </w:pPr>
    </w:p>
    <w:tbl>
      <w:tblPr>
        <w:tblW w:w="9616" w:type="dxa"/>
        <w:tblInd w:w="-88" w:type="dxa"/>
        <w:tblCellMar>
          <w:left w:w="2" w:type="dxa"/>
          <w:right w:w="2" w:type="dxa"/>
        </w:tblCellMar>
        <w:tblLook w:val="04A0" w:firstRow="1" w:lastRow="0" w:firstColumn="1" w:lastColumn="0" w:noHBand="0" w:noVBand="1"/>
      </w:tblPr>
      <w:tblGrid>
        <w:gridCol w:w="9616"/>
      </w:tblGrid>
      <w:tr w:rsidR="00D17097" w14:paraId="033BA7C2" w14:textId="77777777">
        <w:trPr>
          <w:trHeight w:val="306"/>
        </w:trPr>
        <w:tc>
          <w:tcPr>
            <w:tcW w:w="9616" w:type="dxa"/>
            <w:tcBorders>
              <w:top w:val="single" w:sz="2" w:space="0" w:color="000000"/>
              <w:left w:val="single" w:sz="2" w:space="0" w:color="000000"/>
              <w:right w:val="single" w:sz="2" w:space="0" w:color="000000"/>
            </w:tcBorders>
            <w:shd w:val="clear" w:color="CCCCCC" w:fill="CCCCCC"/>
          </w:tcPr>
          <w:p w14:paraId="70F85E04" w14:textId="77777777" w:rsidR="00D17097" w:rsidRDefault="00602483">
            <w:pPr>
              <w:spacing w:before="80" w:after="20"/>
              <w:jc w:val="center"/>
              <w:rPr>
                <w:rFonts w:ascii="Arial" w:eastAsia="Trebuchet MS" w:hAnsi="Arial" w:cs="Arial"/>
                <w:color w:val="000000"/>
                <w:lang w:eastAsia="en-US"/>
              </w:rPr>
            </w:pPr>
            <w:r>
              <w:rPr>
                <w:rFonts w:ascii="Arial" w:eastAsia="Trebuchet MS" w:hAnsi="Arial" w:cs="Arial"/>
                <w:color w:val="000000"/>
                <w:lang w:eastAsia="en-US"/>
              </w:rPr>
              <w:t>Libellés</w:t>
            </w:r>
          </w:p>
        </w:tc>
      </w:tr>
      <w:tr w:rsidR="00D17097" w14:paraId="58D71CA9" w14:textId="77777777">
        <w:trPr>
          <w:trHeight w:val="414"/>
        </w:trPr>
        <w:tc>
          <w:tcPr>
            <w:tcW w:w="9616" w:type="dxa"/>
            <w:tcBorders>
              <w:top w:val="single" w:sz="2" w:space="0" w:color="000000"/>
              <w:left w:val="single" w:sz="2" w:space="0" w:color="000000"/>
              <w:bottom w:val="single" w:sz="2" w:space="0" w:color="000000"/>
              <w:right w:val="single" w:sz="2" w:space="0" w:color="000000"/>
            </w:tcBorders>
            <w:shd w:val="clear" w:color="auto" w:fill="auto"/>
          </w:tcPr>
          <w:p w14:paraId="229F6AF6" w14:textId="77777777" w:rsidR="00D17097" w:rsidRDefault="00602483">
            <w:pPr>
              <w:spacing w:line="233" w:lineRule="exact"/>
              <w:rPr>
                <w:rFonts w:ascii="Arial" w:eastAsia="Trebuchet MS" w:hAnsi="Arial" w:cs="Arial"/>
                <w:color w:val="000000"/>
                <w:lang w:eastAsia="en-US"/>
              </w:rPr>
            </w:pPr>
            <w:r>
              <w:rPr>
                <w:rFonts w:ascii="Arial" w:eastAsia="Trebuchet MS" w:hAnsi="Arial" w:cs="Arial"/>
                <w:color w:val="000000"/>
                <w:lang w:eastAsia="en-US"/>
              </w:rPr>
              <w:t>Déclaration sur l'honneur pour justifier que le candidat n'entre dans aucun des cas d'interdiction de soumissionner</w:t>
            </w:r>
          </w:p>
        </w:tc>
      </w:tr>
      <w:tr w:rsidR="00D17097" w14:paraId="183E7872" w14:textId="77777777">
        <w:trPr>
          <w:trHeight w:val="414"/>
        </w:trPr>
        <w:tc>
          <w:tcPr>
            <w:tcW w:w="9616" w:type="dxa"/>
            <w:tcBorders>
              <w:top w:val="single" w:sz="2" w:space="0" w:color="000000"/>
              <w:left w:val="single" w:sz="2" w:space="0" w:color="000000"/>
              <w:bottom w:val="single" w:sz="2" w:space="0" w:color="000000"/>
              <w:right w:val="single" w:sz="2" w:space="0" w:color="000000"/>
            </w:tcBorders>
            <w:shd w:val="clear" w:color="auto" w:fill="auto"/>
          </w:tcPr>
          <w:p w14:paraId="4F736034" w14:textId="77777777" w:rsidR="00D17097" w:rsidRDefault="00602483">
            <w:pPr>
              <w:spacing w:line="233" w:lineRule="exact"/>
              <w:rPr>
                <w:rFonts w:ascii="Arial" w:eastAsia="Trebuchet MS" w:hAnsi="Arial" w:cs="Arial"/>
                <w:color w:val="000000"/>
                <w:lang w:eastAsia="en-US"/>
              </w:rPr>
            </w:pPr>
            <w:r>
              <w:rPr>
                <w:rFonts w:ascii="Arial" w:eastAsia="Trebuchet MS" w:hAnsi="Arial" w:cs="Arial"/>
                <w:color w:val="000000"/>
                <w:lang w:eastAsia="en-US"/>
              </w:rPr>
              <w:t>Renseignements sur le respect de l'obligation d'emploi mentionnée aux articles L. 5212-1 à L. 5212-11 du Code du travail</w:t>
            </w:r>
          </w:p>
        </w:tc>
      </w:tr>
    </w:tbl>
    <w:p w14:paraId="2F9F60D1" w14:textId="77777777" w:rsidR="00D17097" w:rsidRDefault="00602483">
      <w:pPr>
        <w:spacing w:after="200" w:line="240" w:lineRule="exact"/>
        <w:rPr>
          <w:rFonts w:ascii="Arial" w:hAnsi="Arial" w:cs="Arial"/>
          <w:lang w:val="en-US" w:eastAsia="en-US"/>
        </w:rPr>
      </w:pPr>
      <w:r>
        <w:rPr>
          <w:rFonts w:ascii="Arial" w:hAnsi="Arial" w:cs="Arial"/>
          <w:lang w:val="en-US" w:eastAsia="en-US"/>
        </w:rPr>
        <w:t xml:space="preserve"> </w:t>
      </w:r>
    </w:p>
    <w:p w14:paraId="1051FCA2" w14:textId="77777777" w:rsidR="00D17097" w:rsidRDefault="00602483">
      <w:pPr>
        <w:spacing w:line="233" w:lineRule="exact"/>
        <w:jc w:val="both"/>
        <w:rPr>
          <w:rFonts w:ascii="Arial" w:eastAsia="Trebuchet MS" w:hAnsi="Arial" w:cs="Arial"/>
          <w:color w:val="000000"/>
          <w:lang w:eastAsia="en-US"/>
        </w:rPr>
      </w:pPr>
      <w:r>
        <w:rPr>
          <w:rFonts w:ascii="Arial" w:eastAsia="Trebuchet MS" w:hAnsi="Arial" w:cs="Arial"/>
          <w:color w:val="000000"/>
          <w:lang w:eastAsia="en-US"/>
        </w:rPr>
        <w:t>Renseignements concernant la capacité économique et financière de l'entreprise :</w:t>
      </w:r>
    </w:p>
    <w:p w14:paraId="34558A00" w14:textId="77777777" w:rsidR="00D17097" w:rsidRDefault="00D17097">
      <w:pPr>
        <w:spacing w:line="233" w:lineRule="exact"/>
        <w:jc w:val="both"/>
        <w:rPr>
          <w:rFonts w:ascii="Arial" w:eastAsia="Trebuchet MS" w:hAnsi="Arial" w:cs="Arial"/>
          <w:color w:val="000000"/>
          <w:lang w:eastAsia="en-US"/>
        </w:rPr>
      </w:pPr>
    </w:p>
    <w:tbl>
      <w:tblPr>
        <w:tblW w:w="9616" w:type="dxa"/>
        <w:tblInd w:w="-88" w:type="dxa"/>
        <w:tblCellMar>
          <w:left w:w="2" w:type="dxa"/>
          <w:right w:w="2" w:type="dxa"/>
        </w:tblCellMar>
        <w:tblLook w:val="04A0" w:firstRow="1" w:lastRow="0" w:firstColumn="1" w:lastColumn="0" w:noHBand="0" w:noVBand="1"/>
      </w:tblPr>
      <w:tblGrid>
        <w:gridCol w:w="9616"/>
      </w:tblGrid>
      <w:tr w:rsidR="00D17097" w14:paraId="094D4D79" w14:textId="77777777">
        <w:trPr>
          <w:trHeight w:val="306"/>
        </w:trPr>
        <w:tc>
          <w:tcPr>
            <w:tcW w:w="9616" w:type="dxa"/>
            <w:tcBorders>
              <w:top w:val="single" w:sz="2" w:space="0" w:color="000000"/>
              <w:left w:val="single" w:sz="2" w:space="0" w:color="000000"/>
              <w:right w:val="single" w:sz="2" w:space="0" w:color="000000"/>
            </w:tcBorders>
            <w:shd w:val="clear" w:color="CCCCCC" w:fill="CCCCCC"/>
          </w:tcPr>
          <w:p w14:paraId="509BEFDA" w14:textId="77777777" w:rsidR="00D17097" w:rsidRDefault="00602483">
            <w:pPr>
              <w:spacing w:before="80" w:after="20"/>
              <w:jc w:val="center"/>
              <w:rPr>
                <w:rFonts w:ascii="Arial" w:eastAsia="Trebuchet MS" w:hAnsi="Arial" w:cs="Arial"/>
                <w:color w:val="000000"/>
                <w:lang w:eastAsia="en-US"/>
              </w:rPr>
            </w:pPr>
            <w:r>
              <w:rPr>
                <w:rFonts w:ascii="Arial" w:eastAsia="Trebuchet MS" w:hAnsi="Arial" w:cs="Arial"/>
                <w:color w:val="000000"/>
                <w:lang w:eastAsia="en-US"/>
              </w:rPr>
              <w:t>Libellés</w:t>
            </w:r>
          </w:p>
        </w:tc>
      </w:tr>
      <w:tr w:rsidR="00D17097" w14:paraId="5C7BFE5B" w14:textId="77777777">
        <w:trPr>
          <w:trHeight w:val="532"/>
        </w:trPr>
        <w:tc>
          <w:tcPr>
            <w:tcW w:w="9616" w:type="dxa"/>
            <w:tcBorders>
              <w:top w:val="single" w:sz="2" w:space="0" w:color="000000"/>
              <w:left w:val="single" w:sz="2" w:space="0" w:color="000000"/>
              <w:bottom w:val="single" w:sz="2" w:space="0" w:color="000000"/>
              <w:right w:val="single" w:sz="2" w:space="0" w:color="000000"/>
            </w:tcBorders>
            <w:shd w:val="clear" w:color="auto" w:fill="auto"/>
          </w:tcPr>
          <w:p w14:paraId="75A1D52C" w14:textId="77777777" w:rsidR="00D17097" w:rsidRDefault="00602483">
            <w:pPr>
              <w:spacing w:line="233" w:lineRule="exact"/>
              <w:rPr>
                <w:rFonts w:ascii="Arial" w:eastAsia="Trebuchet MS" w:hAnsi="Arial" w:cs="Arial"/>
                <w:color w:val="000000"/>
                <w:lang w:eastAsia="en-US"/>
              </w:rPr>
            </w:pPr>
            <w:r>
              <w:rPr>
                <w:rFonts w:ascii="Arial" w:eastAsia="Trebuchet MS" w:hAnsi="Arial" w:cs="Arial"/>
                <w:color w:val="000000"/>
                <w:lang w:eastAsia="en-US"/>
              </w:rPr>
              <w:t>Déclaration concernant le chiffre d'affaires global et le chiffre d'affaires concernant les prestations objet du contrat, réalisées au cours des trois derniers exercices disponibles</w:t>
            </w:r>
          </w:p>
        </w:tc>
      </w:tr>
      <w:tr w:rsidR="00D17097" w14:paraId="0DEE2E05" w14:textId="77777777">
        <w:trPr>
          <w:trHeight w:val="414"/>
        </w:trPr>
        <w:tc>
          <w:tcPr>
            <w:tcW w:w="9616" w:type="dxa"/>
            <w:tcBorders>
              <w:top w:val="single" w:sz="2" w:space="0" w:color="000000"/>
              <w:left w:val="single" w:sz="2" w:space="0" w:color="000000"/>
              <w:bottom w:val="single" w:sz="2" w:space="0" w:color="000000"/>
              <w:right w:val="single" w:sz="2" w:space="0" w:color="000000"/>
            </w:tcBorders>
            <w:shd w:val="clear" w:color="auto" w:fill="auto"/>
          </w:tcPr>
          <w:p w14:paraId="1BD9CF30" w14:textId="77777777" w:rsidR="00D17097" w:rsidRDefault="00602483">
            <w:pPr>
              <w:spacing w:line="233" w:lineRule="exact"/>
              <w:rPr>
                <w:rFonts w:ascii="Arial" w:eastAsia="Trebuchet MS" w:hAnsi="Arial" w:cs="Arial"/>
                <w:color w:val="000000"/>
                <w:lang w:eastAsia="en-US"/>
              </w:rPr>
            </w:pPr>
            <w:r>
              <w:rPr>
                <w:rFonts w:ascii="Arial" w:eastAsia="Trebuchet MS" w:hAnsi="Arial" w:cs="Arial"/>
                <w:color w:val="000000"/>
                <w:lang w:eastAsia="en-US"/>
              </w:rPr>
              <w:t>Déclaration appropriée de banques ou preuve d'une assurance pour les risques professionnels</w:t>
            </w:r>
          </w:p>
        </w:tc>
      </w:tr>
    </w:tbl>
    <w:p w14:paraId="05683788" w14:textId="77777777" w:rsidR="00D17097" w:rsidRDefault="00D17097">
      <w:pPr>
        <w:spacing w:after="200" w:line="240" w:lineRule="exact"/>
        <w:rPr>
          <w:rFonts w:ascii="Arial" w:hAnsi="Arial" w:cs="Arial"/>
          <w:lang w:val="en-US" w:eastAsia="en-US"/>
        </w:rPr>
      </w:pPr>
    </w:p>
    <w:p w14:paraId="0A271B5A" w14:textId="77777777" w:rsidR="00D17097" w:rsidRDefault="00602483">
      <w:pPr>
        <w:spacing w:after="200" w:line="240" w:lineRule="exact"/>
        <w:rPr>
          <w:rFonts w:ascii="Arial" w:eastAsia="Trebuchet MS" w:hAnsi="Arial" w:cs="Arial"/>
          <w:color w:val="000000"/>
          <w:lang w:eastAsia="en-US"/>
        </w:rPr>
      </w:pPr>
      <w:r>
        <w:rPr>
          <w:rFonts w:ascii="Arial" w:eastAsia="Trebuchet MS" w:hAnsi="Arial" w:cs="Arial"/>
          <w:color w:val="000000"/>
          <w:lang w:eastAsia="en-US"/>
        </w:rPr>
        <w:t>Renseignements concernant les références professionnelles et la capacité technique de l'entreprise :</w:t>
      </w:r>
    </w:p>
    <w:tbl>
      <w:tblPr>
        <w:tblW w:w="9616" w:type="dxa"/>
        <w:tblInd w:w="-88" w:type="dxa"/>
        <w:tblCellMar>
          <w:left w:w="2" w:type="dxa"/>
          <w:right w:w="2" w:type="dxa"/>
        </w:tblCellMar>
        <w:tblLook w:val="04A0" w:firstRow="1" w:lastRow="0" w:firstColumn="1" w:lastColumn="0" w:noHBand="0" w:noVBand="1"/>
      </w:tblPr>
      <w:tblGrid>
        <w:gridCol w:w="9616"/>
      </w:tblGrid>
      <w:tr w:rsidR="00D17097" w14:paraId="50ED2897" w14:textId="77777777">
        <w:trPr>
          <w:trHeight w:val="306"/>
        </w:trPr>
        <w:tc>
          <w:tcPr>
            <w:tcW w:w="9616" w:type="dxa"/>
            <w:tcBorders>
              <w:top w:val="single" w:sz="2" w:space="0" w:color="000000"/>
              <w:left w:val="single" w:sz="2" w:space="0" w:color="000000"/>
              <w:right w:val="single" w:sz="2" w:space="0" w:color="000000"/>
            </w:tcBorders>
            <w:shd w:val="clear" w:color="CCCCCC" w:fill="CCCCCC"/>
          </w:tcPr>
          <w:p w14:paraId="1950EEFD" w14:textId="77777777" w:rsidR="00D17097" w:rsidRDefault="00602483">
            <w:pPr>
              <w:spacing w:before="80" w:after="20"/>
              <w:jc w:val="center"/>
              <w:rPr>
                <w:rFonts w:ascii="Arial" w:eastAsia="Trebuchet MS" w:hAnsi="Arial" w:cs="Arial"/>
                <w:color w:val="000000"/>
                <w:lang w:eastAsia="en-US"/>
              </w:rPr>
            </w:pPr>
            <w:r>
              <w:rPr>
                <w:rFonts w:ascii="Arial" w:eastAsia="Trebuchet MS" w:hAnsi="Arial" w:cs="Arial"/>
                <w:color w:val="000000"/>
                <w:lang w:eastAsia="en-US"/>
              </w:rPr>
              <w:t>Libellés</w:t>
            </w:r>
          </w:p>
        </w:tc>
      </w:tr>
      <w:tr w:rsidR="00D17097" w14:paraId="34FCEBAA" w14:textId="77777777">
        <w:trPr>
          <w:trHeight w:val="828"/>
        </w:trPr>
        <w:tc>
          <w:tcPr>
            <w:tcW w:w="9616" w:type="dxa"/>
            <w:tcBorders>
              <w:top w:val="single" w:sz="2" w:space="0" w:color="000000"/>
              <w:left w:val="single" w:sz="2" w:space="0" w:color="000000"/>
              <w:bottom w:val="single" w:sz="2" w:space="0" w:color="000000"/>
              <w:right w:val="single" w:sz="2" w:space="0" w:color="000000"/>
            </w:tcBorders>
            <w:shd w:val="clear" w:color="auto" w:fill="auto"/>
          </w:tcPr>
          <w:p w14:paraId="353B0A0A" w14:textId="77777777" w:rsidR="00D17097" w:rsidRDefault="00602483">
            <w:pPr>
              <w:spacing w:line="233" w:lineRule="exact"/>
              <w:rPr>
                <w:rFonts w:ascii="Arial" w:eastAsia="Trebuchet MS" w:hAnsi="Arial" w:cs="Arial"/>
                <w:color w:val="000000"/>
                <w:lang w:eastAsia="en-US"/>
              </w:rPr>
            </w:pPr>
            <w:r>
              <w:rPr>
                <w:rFonts w:ascii="Arial" w:eastAsia="Trebuchet MS" w:hAnsi="Arial" w:cs="Arial"/>
                <w:color w:val="000000"/>
                <w:lang w:eastAsia="en-US"/>
              </w:rPr>
              <w:t>Liste des principales prestations effectuées au cours des trois dernières années, indiquant le montant, la date et le destinataire. Elles sont prouvées par des attestations du destinataire ou, à défaut, par une déclaration du candidat</w:t>
            </w:r>
          </w:p>
        </w:tc>
      </w:tr>
      <w:tr w:rsidR="00D17097" w14:paraId="4E5C0CF2" w14:textId="77777777">
        <w:trPr>
          <w:trHeight w:val="902"/>
        </w:trPr>
        <w:tc>
          <w:tcPr>
            <w:tcW w:w="9616" w:type="dxa"/>
            <w:tcBorders>
              <w:top w:val="single" w:sz="2" w:space="0" w:color="000000"/>
              <w:left w:val="single" w:sz="2" w:space="0" w:color="000000"/>
              <w:bottom w:val="single" w:sz="2" w:space="0" w:color="000000"/>
              <w:right w:val="single" w:sz="2" w:space="0" w:color="000000"/>
            </w:tcBorders>
            <w:shd w:val="clear" w:color="auto" w:fill="auto"/>
          </w:tcPr>
          <w:p w14:paraId="65E99DEA" w14:textId="77777777" w:rsidR="00D17097" w:rsidRDefault="00602483">
            <w:pPr>
              <w:spacing w:line="233" w:lineRule="exact"/>
              <w:rPr>
                <w:rFonts w:ascii="Arial" w:eastAsia="Trebuchet MS" w:hAnsi="Arial" w:cs="Arial"/>
                <w:color w:val="000000"/>
                <w:lang w:eastAsia="en-US"/>
              </w:rPr>
            </w:pPr>
            <w:r>
              <w:rPr>
                <w:rFonts w:ascii="Arial" w:eastAsia="Trebuchet MS" w:hAnsi="Arial" w:cs="Arial"/>
                <w:color w:val="000000"/>
                <w:lang w:eastAsia="en-US"/>
              </w:rPr>
              <w:t>Indication des titres d'études et professionnels de l'opérateur économique et/ou des cadres de l'entreprise, et notamment des responsables de prestation de services ou de conduite des travaux de même nature que celle du contrat</w:t>
            </w:r>
          </w:p>
        </w:tc>
      </w:tr>
      <w:tr w:rsidR="00D17097" w14:paraId="3919C8A0" w14:textId="77777777">
        <w:trPr>
          <w:trHeight w:val="612"/>
        </w:trPr>
        <w:tc>
          <w:tcPr>
            <w:tcW w:w="9616" w:type="dxa"/>
            <w:tcBorders>
              <w:top w:val="single" w:sz="2" w:space="0" w:color="000000"/>
              <w:left w:val="single" w:sz="2" w:space="0" w:color="000000"/>
              <w:bottom w:val="single" w:sz="2" w:space="0" w:color="000000"/>
              <w:right w:val="single" w:sz="2" w:space="0" w:color="000000"/>
            </w:tcBorders>
            <w:shd w:val="clear" w:color="auto" w:fill="auto"/>
          </w:tcPr>
          <w:p w14:paraId="3C69922E" w14:textId="77777777" w:rsidR="00D17097" w:rsidRDefault="00602483">
            <w:pPr>
              <w:spacing w:line="233" w:lineRule="exact"/>
              <w:rPr>
                <w:rFonts w:ascii="Arial" w:eastAsia="Trebuchet MS" w:hAnsi="Arial" w:cs="Arial"/>
                <w:color w:val="000000"/>
                <w:lang w:eastAsia="en-US"/>
              </w:rPr>
            </w:pPr>
            <w:r>
              <w:rPr>
                <w:rFonts w:ascii="Arial" w:eastAsia="Trebuchet MS" w:hAnsi="Arial" w:cs="Arial"/>
                <w:color w:val="000000"/>
                <w:lang w:eastAsia="en-US"/>
              </w:rPr>
              <w:t>Déclaration indiquant les effectifs moyens annuels du candidat et l'importance du personnel d'encadrement pour chacune des trois dernières années</w:t>
            </w:r>
          </w:p>
        </w:tc>
      </w:tr>
      <w:tr w:rsidR="00D17097" w14:paraId="049C867A" w14:textId="77777777">
        <w:trPr>
          <w:trHeight w:val="612"/>
        </w:trPr>
        <w:tc>
          <w:tcPr>
            <w:tcW w:w="9616" w:type="dxa"/>
            <w:tcBorders>
              <w:top w:val="single" w:sz="2" w:space="0" w:color="000000"/>
              <w:left w:val="single" w:sz="2" w:space="0" w:color="000000"/>
              <w:bottom w:val="single" w:sz="4" w:space="0" w:color="000000"/>
              <w:right w:val="single" w:sz="2" w:space="0" w:color="000000"/>
            </w:tcBorders>
            <w:shd w:val="clear" w:color="auto" w:fill="auto"/>
          </w:tcPr>
          <w:p w14:paraId="2D327AC4" w14:textId="77777777" w:rsidR="00D17097" w:rsidRDefault="00602483">
            <w:pPr>
              <w:spacing w:line="233" w:lineRule="exact"/>
              <w:rPr>
                <w:rFonts w:ascii="Arial" w:eastAsia="Trebuchet MS" w:hAnsi="Arial" w:cs="Arial"/>
                <w:color w:val="000000"/>
                <w:lang w:eastAsia="en-US"/>
              </w:rPr>
            </w:pPr>
            <w:r>
              <w:rPr>
                <w:rFonts w:ascii="Arial" w:eastAsia="Trebuchet MS" w:hAnsi="Arial" w:cs="Arial"/>
                <w:color w:val="000000"/>
                <w:lang w:eastAsia="en-US"/>
              </w:rPr>
              <w:t>Déclaration indiquant l'outillage, le matériel et l'équipement technique dont le candidat dispose pour la réalisation du contrat</w:t>
            </w:r>
          </w:p>
        </w:tc>
      </w:tr>
    </w:tbl>
    <w:p w14:paraId="03DF9E90" w14:textId="77777777" w:rsidR="00D17097" w:rsidRDefault="00602483">
      <w:pPr>
        <w:spacing w:after="200" w:line="240" w:lineRule="exact"/>
        <w:jc w:val="both"/>
        <w:rPr>
          <w:rFonts w:ascii="Arial" w:eastAsia="Trebuchet MS" w:hAnsi="Arial" w:cs="Arial"/>
          <w:color w:val="000000"/>
          <w:lang w:eastAsia="en-US"/>
        </w:rPr>
      </w:pPr>
      <w:r>
        <w:rPr>
          <w:rFonts w:ascii="Arial" w:hAnsi="Arial" w:cs="Arial"/>
          <w:lang w:val="en-US" w:eastAsia="en-US"/>
        </w:rPr>
        <w:t xml:space="preserve"> </w:t>
      </w:r>
      <w:r>
        <w:rPr>
          <w:rFonts w:ascii="Arial" w:eastAsia="Trebuchet MS" w:hAnsi="Arial" w:cs="Arial"/>
          <w:color w:val="000000"/>
          <w:lang w:eastAsia="en-US"/>
        </w:rPr>
        <w:t xml:space="preserve">Pour présenter leur candidature, </w:t>
      </w:r>
      <w:r>
        <w:rPr>
          <w:rFonts w:ascii="Arial" w:eastAsia="Trebuchet MS" w:hAnsi="Arial" w:cs="Arial"/>
          <w:b/>
          <w:color w:val="000000"/>
          <w:lang w:eastAsia="en-US"/>
        </w:rPr>
        <w:t>les candidats utilisent soit les formulaires DC1 (lettre de candidature) et DC2 (déclaration du candidat)</w:t>
      </w:r>
      <w:r>
        <w:rPr>
          <w:rFonts w:ascii="Arial" w:eastAsia="Trebuchet MS" w:hAnsi="Arial" w:cs="Arial"/>
          <w:color w:val="000000"/>
          <w:lang w:eastAsia="en-US"/>
        </w:rPr>
        <w:t xml:space="preserve"> disponibles gratuitement sur le site www.economie.gouv.fr, soit le Document Unique de Marché Européen (DUME)</w:t>
      </w:r>
    </w:p>
    <w:p w14:paraId="34D29C2E" w14:textId="77777777" w:rsidR="00D17097" w:rsidRDefault="00602483">
      <w:pPr>
        <w:spacing w:after="240" w:line="233" w:lineRule="exact"/>
        <w:jc w:val="both"/>
        <w:rPr>
          <w:rFonts w:ascii="Arial" w:eastAsia="Trebuchet MS" w:hAnsi="Arial" w:cs="Arial"/>
          <w:color w:val="000000"/>
          <w:lang w:eastAsia="en-US"/>
        </w:rPr>
      </w:pPr>
      <w:r>
        <w:rPr>
          <w:rFonts w:ascii="Arial" w:eastAsia="Trebuchet MS" w:hAnsi="Arial" w:cs="Arial"/>
          <w:color w:val="000000"/>
          <w:lang w:eastAsia="en-US"/>
        </w:rPr>
        <w:lastRenderedPageBreak/>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0EBE6E73" w14:textId="77777777" w:rsidR="00D17097" w:rsidRDefault="00602483">
      <w:pPr>
        <w:pStyle w:val="Titre21"/>
      </w:pPr>
      <w:bookmarkStart w:id="34" w:name="_Toc464134981"/>
      <w:r>
        <w:t xml:space="preserve">7.2 </w:t>
      </w:r>
      <w:proofErr w:type="gramStart"/>
      <w:r>
        <w:t>–  Pièces</w:t>
      </w:r>
      <w:proofErr w:type="gramEnd"/>
      <w:r>
        <w:t xml:space="preserve"> relatives à l’offre proprement dite</w:t>
      </w:r>
      <w:bookmarkEnd w:id="34"/>
    </w:p>
    <w:p w14:paraId="3A9FEE2C" w14:textId="77777777" w:rsidR="00D17097" w:rsidRDefault="00D17097">
      <w:pPr>
        <w:pStyle w:val="En-tte1"/>
        <w:tabs>
          <w:tab w:val="clear" w:pos="4536"/>
          <w:tab w:val="clear" w:pos="9072"/>
        </w:tabs>
        <w:ind w:left="1843" w:hanging="992"/>
        <w:jc w:val="both"/>
        <w:rPr>
          <w:rFonts w:ascii="Arial" w:hAnsi="Arial" w:cs="Arial"/>
          <w:b/>
        </w:rPr>
      </w:pPr>
    </w:p>
    <w:p w14:paraId="2480D0E6" w14:textId="77777777" w:rsidR="00D17097" w:rsidRDefault="00602483">
      <w:pPr>
        <w:pStyle w:val="En-tte1"/>
        <w:tabs>
          <w:tab w:val="clear" w:pos="4536"/>
          <w:tab w:val="clear" w:pos="9072"/>
        </w:tabs>
        <w:jc w:val="center"/>
        <w:rPr>
          <w:rFonts w:ascii="Arial" w:hAnsi="Arial" w:cs="Arial"/>
          <w:b/>
          <w:u w:val="single"/>
        </w:rPr>
      </w:pPr>
      <w:r>
        <w:rPr>
          <w:rFonts w:ascii="Arial" w:hAnsi="Arial" w:cs="Arial"/>
          <w:b/>
          <w:u w:val="single"/>
        </w:rPr>
        <w:t xml:space="preserve">DOCUMENTS RELATIFS </w:t>
      </w:r>
      <w:proofErr w:type="gramStart"/>
      <w:r>
        <w:rPr>
          <w:rFonts w:ascii="Arial" w:hAnsi="Arial" w:cs="Arial"/>
          <w:b/>
          <w:u w:val="single"/>
        </w:rPr>
        <w:t>A  L’OFFRE</w:t>
      </w:r>
      <w:proofErr w:type="gramEnd"/>
      <w:r>
        <w:rPr>
          <w:rFonts w:ascii="Arial" w:hAnsi="Arial" w:cs="Arial"/>
          <w:b/>
          <w:u w:val="single"/>
        </w:rPr>
        <w:t>  </w:t>
      </w:r>
    </w:p>
    <w:p w14:paraId="7CDAC2E5" w14:textId="77777777" w:rsidR="00D17097" w:rsidRDefault="00D17097">
      <w:pPr>
        <w:pStyle w:val="En-tte1"/>
        <w:tabs>
          <w:tab w:val="clear" w:pos="4536"/>
          <w:tab w:val="clear" w:pos="9072"/>
        </w:tabs>
        <w:jc w:val="both"/>
        <w:rPr>
          <w:rFonts w:ascii="Arial" w:hAnsi="Arial" w:cs="Arial"/>
        </w:rPr>
      </w:pPr>
    </w:p>
    <w:p w14:paraId="6F73C5FF" w14:textId="77777777" w:rsidR="00D17097" w:rsidRDefault="00602483">
      <w:pPr>
        <w:pStyle w:val="En-tte1"/>
        <w:tabs>
          <w:tab w:val="clear" w:pos="4536"/>
          <w:tab w:val="clear" w:pos="9072"/>
        </w:tabs>
        <w:spacing w:after="120"/>
        <w:ind w:left="709"/>
        <w:jc w:val="both"/>
        <w:rPr>
          <w:rFonts w:ascii="Arial" w:hAnsi="Arial"/>
        </w:rPr>
      </w:pPr>
      <w:r>
        <w:rPr>
          <w:rFonts w:ascii="Symbol" w:eastAsia="Symbol" w:hAnsi="Symbol" w:cs="Symbol"/>
        </w:rPr>
        <w:t></w:t>
      </w:r>
      <w:r>
        <w:rPr>
          <w:rFonts w:ascii="Arial" w:hAnsi="Arial"/>
        </w:rPr>
        <w:t xml:space="preserve"> L’</w:t>
      </w:r>
      <w:r>
        <w:rPr>
          <w:rFonts w:ascii="Arial" w:hAnsi="Arial"/>
          <w:b/>
        </w:rPr>
        <w:t>Acte d’Engagement</w:t>
      </w:r>
      <w:r>
        <w:rPr>
          <w:rFonts w:ascii="Arial" w:hAnsi="Arial"/>
        </w:rPr>
        <w:t xml:space="preserve">, document ci-joint, complété, </w:t>
      </w:r>
      <w:r>
        <w:rPr>
          <w:rFonts w:ascii="Arial" w:hAnsi="Arial"/>
          <w:b/>
          <w:bCs/>
        </w:rPr>
        <w:t>daté et signé</w:t>
      </w:r>
      <w:r>
        <w:rPr>
          <w:rFonts w:ascii="Arial" w:hAnsi="Arial"/>
        </w:rPr>
        <w:t xml:space="preserve">. La signature n’est obligatoire qu’au stade de l’attribution, le candidat a cependant la faculté de signer ce document au moment du dépôt de son offre. </w:t>
      </w:r>
    </w:p>
    <w:p w14:paraId="477FBCC0" w14:textId="77777777" w:rsidR="00D17097" w:rsidRDefault="00602483">
      <w:pPr>
        <w:pStyle w:val="En-tte1"/>
        <w:tabs>
          <w:tab w:val="clear" w:pos="4536"/>
          <w:tab w:val="clear" w:pos="9072"/>
        </w:tabs>
        <w:spacing w:after="120"/>
        <w:ind w:left="703" w:firstLine="6"/>
        <w:jc w:val="both"/>
        <w:rPr>
          <w:rFonts w:ascii="Arial" w:hAnsi="Arial" w:cs="Arial"/>
        </w:rPr>
      </w:pPr>
      <w:r>
        <w:rPr>
          <w:rFonts w:ascii="Symbol" w:eastAsia="Symbol" w:hAnsi="Symbol" w:cs="Symbol"/>
        </w:rPr>
        <w:t></w:t>
      </w:r>
      <w:r>
        <w:rPr>
          <w:rFonts w:ascii="Arial" w:hAnsi="Arial"/>
        </w:rPr>
        <w:t xml:space="preserve"> </w:t>
      </w:r>
      <w:r>
        <w:rPr>
          <w:rFonts w:ascii="Arial" w:hAnsi="Arial"/>
          <w:b/>
        </w:rPr>
        <w:t xml:space="preserve">Cahier des Clauses Administratives Particulières </w:t>
      </w:r>
      <w:r>
        <w:rPr>
          <w:rFonts w:ascii="Arial" w:hAnsi="Arial" w:cs="Arial"/>
        </w:rPr>
        <w:t xml:space="preserve">document ci-joint, à accepter sans aucune modification et les documents qui y sont mentionnés, </w:t>
      </w:r>
    </w:p>
    <w:p w14:paraId="0A78E7FF" w14:textId="77777777" w:rsidR="00D17097" w:rsidRDefault="00602483">
      <w:pPr>
        <w:pStyle w:val="En-tte1"/>
        <w:tabs>
          <w:tab w:val="clear" w:pos="4536"/>
          <w:tab w:val="clear" w:pos="9072"/>
        </w:tabs>
        <w:spacing w:after="120"/>
        <w:ind w:left="703" w:firstLine="6"/>
        <w:jc w:val="both"/>
        <w:rPr>
          <w:rFonts w:ascii="Arial" w:hAnsi="Arial" w:cs="Arial"/>
        </w:rPr>
      </w:pPr>
      <w:r>
        <w:rPr>
          <w:rFonts w:ascii="Symbol" w:eastAsia="Symbol" w:hAnsi="Symbol" w:cs="Symbol"/>
        </w:rPr>
        <w:t></w:t>
      </w:r>
      <w:r>
        <w:rPr>
          <w:rFonts w:ascii="Arial" w:hAnsi="Arial" w:cs="Arial"/>
        </w:rPr>
        <w:t xml:space="preserve"> Le </w:t>
      </w:r>
      <w:r>
        <w:rPr>
          <w:rFonts w:ascii="Arial" w:hAnsi="Arial" w:cs="Arial"/>
          <w:b/>
        </w:rPr>
        <w:t>Cahier des Clauses Techniques Particulières (CCTP)</w:t>
      </w:r>
      <w:r>
        <w:rPr>
          <w:rFonts w:ascii="Arial" w:hAnsi="Arial" w:cs="Arial"/>
        </w:rPr>
        <w:t>,</w:t>
      </w:r>
      <w:r>
        <w:rPr>
          <w:rFonts w:ascii="Arial" w:hAnsi="Arial" w:cs="Arial"/>
          <w:b/>
        </w:rPr>
        <w:t xml:space="preserve"> </w:t>
      </w:r>
      <w:r>
        <w:rPr>
          <w:rFonts w:ascii="Arial" w:hAnsi="Arial" w:cs="Arial"/>
        </w:rPr>
        <w:t xml:space="preserve">document ci-joint, à accepter sans aucune modification et les documents qui y sont mentionnés, </w:t>
      </w:r>
    </w:p>
    <w:p w14:paraId="5B68D7BC" w14:textId="77777777" w:rsidR="00D17097" w:rsidRDefault="00602483">
      <w:pPr>
        <w:pStyle w:val="En-tte1"/>
        <w:tabs>
          <w:tab w:val="clear" w:pos="4536"/>
          <w:tab w:val="clear" w:pos="9072"/>
        </w:tabs>
        <w:spacing w:after="120"/>
        <w:ind w:left="703" w:firstLine="6"/>
        <w:jc w:val="both"/>
        <w:rPr>
          <w:rFonts w:ascii="Arial" w:hAnsi="Arial" w:cs="Arial"/>
        </w:rPr>
      </w:pPr>
      <w:r>
        <w:rPr>
          <w:rFonts w:ascii="Symbol" w:eastAsia="Symbol" w:hAnsi="Symbol" w:cs="Symbol"/>
        </w:rPr>
        <w:t></w:t>
      </w:r>
      <w:r>
        <w:rPr>
          <w:rFonts w:ascii="Arial" w:hAnsi="Arial" w:cs="Arial"/>
        </w:rPr>
        <w:t xml:space="preserve"> La </w:t>
      </w:r>
      <w:r>
        <w:rPr>
          <w:rFonts w:ascii="Arial" w:hAnsi="Arial" w:cs="Arial"/>
          <w:b/>
        </w:rPr>
        <w:t xml:space="preserve">Décomposition du Prix Global et Forfaitaire (DPGF) </w:t>
      </w:r>
      <w:r>
        <w:rPr>
          <w:rFonts w:ascii="Arial" w:hAnsi="Arial" w:cs="Arial"/>
        </w:rPr>
        <w:t>document à compléter, dater et signer par le candidat, précise, complète et conforme au C.C.T.P. : attention aux quantités.</w:t>
      </w:r>
    </w:p>
    <w:p w14:paraId="602926AE" w14:textId="77777777" w:rsidR="00D17097" w:rsidRDefault="00602483">
      <w:pPr>
        <w:pStyle w:val="En-tte1"/>
        <w:tabs>
          <w:tab w:val="clear" w:pos="4536"/>
          <w:tab w:val="clear" w:pos="9072"/>
        </w:tabs>
        <w:spacing w:after="120"/>
        <w:ind w:left="703" w:firstLine="6"/>
        <w:jc w:val="both"/>
        <w:rPr>
          <w:rFonts w:ascii="Arial" w:hAnsi="Arial" w:cs="Arial"/>
        </w:rPr>
      </w:pPr>
      <w:r>
        <w:rPr>
          <w:rFonts w:ascii="Symbol" w:eastAsia="Symbol" w:hAnsi="Symbol" w:cs="Symbol"/>
        </w:rPr>
        <w:t></w:t>
      </w:r>
      <w:r>
        <w:rPr>
          <w:rFonts w:ascii="Arial" w:hAnsi="Arial" w:cs="Arial"/>
        </w:rPr>
        <w:t xml:space="preserve"> Le </w:t>
      </w:r>
      <w:r>
        <w:rPr>
          <w:rFonts w:ascii="Arial" w:hAnsi="Arial" w:cs="Arial"/>
          <w:b/>
        </w:rPr>
        <w:t>mémoire technique comprenant</w:t>
      </w:r>
      <w:r>
        <w:rPr>
          <w:rFonts w:ascii="Arial" w:hAnsi="Arial" w:cs="Arial"/>
        </w:rPr>
        <w:t> :</w:t>
      </w:r>
    </w:p>
    <w:p w14:paraId="25BDC3D2" w14:textId="77777777" w:rsidR="00D17097" w:rsidRDefault="00602483">
      <w:pPr>
        <w:pStyle w:val="Listecouleur-Accent11"/>
        <w:numPr>
          <w:ilvl w:val="0"/>
          <w:numId w:val="3"/>
        </w:numPr>
        <w:ind w:left="720"/>
        <w:jc w:val="both"/>
        <w:rPr>
          <w:rFonts w:ascii="Arial" w:hAnsi="Arial" w:cs="Arial"/>
          <w:sz w:val="20"/>
        </w:rPr>
      </w:pPr>
      <w:proofErr w:type="gramStart"/>
      <w:r>
        <w:rPr>
          <w:rFonts w:ascii="Arial" w:hAnsi="Arial" w:cs="Arial"/>
          <w:sz w:val="20"/>
        </w:rPr>
        <w:t>un</w:t>
      </w:r>
      <w:proofErr w:type="gramEnd"/>
      <w:r>
        <w:rPr>
          <w:rFonts w:ascii="Arial" w:hAnsi="Arial" w:cs="Arial"/>
          <w:sz w:val="20"/>
        </w:rPr>
        <w:t xml:space="preserve"> planning détaillé de l'ensemble des travaux, comprenant la phase de préparation, ainsi que les moyens humains et matériels dédiés à la réalisation des travaux. </w:t>
      </w:r>
    </w:p>
    <w:p w14:paraId="7C0E0443" w14:textId="77777777" w:rsidR="00D17097" w:rsidRDefault="00602483">
      <w:pPr>
        <w:pStyle w:val="Listecouleur-Accent11"/>
        <w:numPr>
          <w:ilvl w:val="0"/>
          <w:numId w:val="3"/>
        </w:numPr>
        <w:ind w:left="720"/>
        <w:jc w:val="both"/>
        <w:rPr>
          <w:rFonts w:ascii="Arial" w:hAnsi="Arial" w:cs="Arial"/>
          <w:sz w:val="20"/>
        </w:rPr>
      </w:pPr>
      <w:proofErr w:type="gramStart"/>
      <w:r>
        <w:rPr>
          <w:rFonts w:ascii="Arial" w:hAnsi="Arial" w:cs="Arial"/>
          <w:sz w:val="20"/>
          <w:szCs w:val="20"/>
        </w:rPr>
        <w:t>la</w:t>
      </w:r>
      <w:proofErr w:type="gramEnd"/>
      <w:r>
        <w:rPr>
          <w:rFonts w:ascii="Arial" w:hAnsi="Arial" w:cs="Arial"/>
          <w:sz w:val="20"/>
          <w:szCs w:val="20"/>
        </w:rPr>
        <w:t xml:space="preserve"> provenance des principales fournitures complétée par la documentation technique de ces fournitures, la méthodologie et l'organisation des travaux.</w:t>
      </w:r>
    </w:p>
    <w:p w14:paraId="40C6684A" w14:textId="68B4CB4B" w:rsidR="00D17097" w:rsidRDefault="00AE12B2">
      <w:pPr>
        <w:pStyle w:val="En-tte1"/>
        <w:jc w:val="both"/>
        <w:rPr>
          <w:rFonts w:ascii="Arial" w:hAnsi="Arial" w:cs="Arial"/>
        </w:rPr>
      </w:pPr>
      <w:r w:rsidRPr="00AE12B2">
        <w:rPr>
          <w:rFonts w:ascii="Arial" w:hAnsi="Arial" w:cs="Arial"/>
          <w:b/>
        </w:rPr>
        <w:t>Le mémoire technique ne devra pas dépasser 30 pages</w:t>
      </w:r>
      <w:r>
        <w:rPr>
          <w:rFonts w:ascii="Arial" w:hAnsi="Arial" w:cs="Arial"/>
        </w:rPr>
        <w:t xml:space="preserve"> (hors fiches techniques). Les pages excédentaires ne seront pas prises en compte dans l'analyse des offres.</w:t>
      </w:r>
    </w:p>
    <w:p w14:paraId="640F6244" w14:textId="77777777" w:rsidR="00AE12B2" w:rsidRDefault="00AE12B2">
      <w:pPr>
        <w:pStyle w:val="En-tte1"/>
        <w:jc w:val="both"/>
        <w:rPr>
          <w:rFonts w:ascii="Arial" w:hAnsi="Arial" w:cs="Arial"/>
        </w:rPr>
      </w:pPr>
    </w:p>
    <w:p w14:paraId="169BB2BB" w14:textId="77777777" w:rsidR="00D17097" w:rsidRDefault="00602483">
      <w:pPr>
        <w:pStyle w:val="Titre11"/>
      </w:pPr>
      <w:bookmarkStart w:id="35" w:name="_Toc464134982"/>
      <w:r>
        <w:t xml:space="preserve">ARTICLE 8 – CRITÈRES DE </w:t>
      </w:r>
      <w:bookmarkEnd w:id="35"/>
      <w:r>
        <w:t>SÉLECTION</w:t>
      </w:r>
    </w:p>
    <w:p w14:paraId="6E246D39" w14:textId="77777777" w:rsidR="00D17097" w:rsidRDefault="00D17097">
      <w:pPr>
        <w:ind w:left="851"/>
        <w:rPr>
          <w:rFonts w:ascii="Arial" w:hAnsi="Arial" w:cs="Arial"/>
          <w:b/>
        </w:rPr>
      </w:pPr>
    </w:p>
    <w:p w14:paraId="067F13E1" w14:textId="77777777" w:rsidR="00D17097" w:rsidRDefault="00602483">
      <w:pPr>
        <w:pStyle w:val="Titre21"/>
      </w:pPr>
      <w:bookmarkStart w:id="36" w:name="_Toc464134983"/>
      <w:r>
        <w:t>8.1 - Critères de sélection des candidatures</w:t>
      </w:r>
      <w:bookmarkEnd w:id="36"/>
    </w:p>
    <w:p w14:paraId="542A4F11" w14:textId="77777777" w:rsidR="00D17097" w:rsidRDefault="00D17097">
      <w:pPr>
        <w:ind w:left="851"/>
        <w:rPr>
          <w:rFonts w:ascii="Arial" w:hAnsi="Arial" w:cs="Arial"/>
          <w:b/>
        </w:rPr>
      </w:pPr>
    </w:p>
    <w:p w14:paraId="76281F15" w14:textId="77777777" w:rsidR="00D17097" w:rsidRDefault="00602483">
      <w:pPr>
        <w:jc w:val="both"/>
        <w:rPr>
          <w:rFonts w:ascii="Arial" w:hAnsi="Arial" w:cs="Arial"/>
        </w:rPr>
      </w:pPr>
      <w:r>
        <w:rPr>
          <w:rFonts w:ascii="Arial" w:hAnsi="Arial" w:cs="Arial"/>
        </w:rPr>
        <w:t>Le candidat est informé qu’il doit veiller à respecter le formalisme indiqué dans le présent règlement de consultation.</w:t>
      </w:r>
    </w:p>
    <w:p w14:paraId="7C3D55A5" w14:textId="77777777" w:rsidR="00D17097" w:rsidRDefault="00D17097">
      <w:pPr>
        <w:jc w:val="both"/>
        <w:rPr>
          <w:rFonts w:ascii="Arial" w:hAnsi="Arial" w:cs="Arial"/>
        </w:rPr>
      </w:pPr>
    </w:p>
    <w:p w14:paraId="580BA63B" w14:textId="77777777" w:rsidR="00D17097" w:rsidRDefault="00602483">
      <w:pPr>
        <w:jc w:val="both"/>
        <w:rPr>
          <w:rFonts w:ascii="Arial" w:hAnsi="Arial" w:cs="Arial"/>
        </w:rPr>
      </w:pPr>
      <w:r>
        <w:rPr>
          <w:rFonts w:ascii="Arial" w:hAnsi="Arial" w:cs="Arial"/>
        </w:rPr>
        <w:t>Les pièces de la candidature seront analysées au regard des critères énoncés à l’article 8.2.</w:t>
      </w:r>
    </w:p>
    <w:p w14:paraId="51F5190C" w14:textId="77777777" w:rsidR="00D17097" w:rsidRDefault="00D17097">
      <w:pPr>
        <w:ind w:left="851"/>
        <w:rPr>
          <w:rFonts w:ascii="Arial" w:hAnsi="Arial" w:cs="Arial"/>
          <w:b/>
        </w:rPr>
      </w:pPr>
    </w:p>
    <w:p w14:paraId="42CEC59D" w14:textId="77777777" w:rsidR="00D17097" w:rsidRDefault="00602483">
      <w:pPr>
        <w:pStyle w:val="Titre21"/>
      </w:pPr>
      <w:bookmarkStart w:id="37" w:name="_Toc464134984"/>
      <w:r>
        <w:t>8.2 – Critères d’attribution</w:t>
      </w:r>
      <w:bookmarkEnd w:id="37"/>
    </w:p>
    <w:p w14:paraId="117FF33A" w14:textId="77777777" w:rsidR="00D17097" w:rsidRDefault="00D17097">
      <w:pPr>
        <w:ind w:firstLine="567"/>
        <w:jc w:val="both"/>
        <w:rPr>
          <w:rFonts w:ascii="Arial" w:hAnsi="Arial" w:cs="Arial"/>
        </w:rPr>
      </w:pPr>
    </w:p>
    <w:p w14:paraId="74A2ADB7" w14:textId="2740D31B" w:rsidR="00D17097" w:rsidRDefault="00602483">
      <w:pPr>
        <w:jc w:val="both"/>
        <w:rPr>
          <w:rFonts w:ascii="Arial" w:hAnsi="Arial" w:cs="Arial"/>
        </w:rPr>
      </w:pPr>
      <w:r>
        <w:rPr>
          <w:rFonts w:ascii="Arial" w:hAnsi="Arial" w:cs="Arial"/>
        </w:rPr>
        <w:t>Les offres régulières, acceptables et appropriées, et qui n’ont pas été rejetées en application des articles</w:t>
      </w:r>
      <w:r>
        <w:rPr>
          <w:rFonts w:ascii="Arial" w:hAnsi="Arial" w:cs="Arial"/>
          <w:color w:val="000000"/>
        </w:rPr>
        <w:t xml:space="preserve"> R.2152-3 à 5 et R2153-3 à 5 du CCP du 05 Décembre 2018</w:t>
      </w:r>
      <w:r>
        <w:rPr>
          <w:rFonts w:ascii="Arial" w:hAnsi="Arial" w:cs="Arial"/>
        </w:rPr>
        <w:t>, sont classées par ordre décroissant en appliquant les critères d’attribution suivants</w:t>
      </w:r>
      <w:r w:rsidR="00F76377">
        <w:rPr>
          <w:rFonts w:ascii="Arial" w:hAnsi="Arial" w:cs="Arial"/>
        </w:rPr>
        <w:t xml:space="preserve"> </w:t>
      </w:r>
      <w:r>
        <w:rPr>
          <w:rFonts w:ascii="Arial" w:hAnsi="Arial" w:cs="Arial"/>
        </w:rPr>
        <w:t>:</w:t>
      </w:r>
    </w:p>
    <w:p w14:paraId="1FEF47C8" w14:textId="77777777" w:rsidR="00D17097" w:rsidRDefault="00D17097">
      <w:pPr>
        <w:jc w:val="both"/>
        <w:rPr>
          <w:rFonts w:ascii="Arial" w:hAnsi="Arial" w:cs="Arial"/>
        </w:rPr>
      </w:pPr>
    </w:p>
    <w:p w14:paraId="39A198B3" w14:textId="77777777" w:rsidR="00D17097" w:rsidRDefault="00602483">
      <w:pPr>
        <w:rPr>
          <w:rFonts w:ascii="Arial" w:hAnsi="Arial" w:cs="Arial"/>
          <w:b/>
        </w:rPr>
      </w:pPr>
      <w:r>
        <w:rPr>
          <w:rFonts w:ascii="Arial" w:hAnsi="Arial" w:cs="Arial"/>
          <w:b/>
        </w:rPr>
        <w:t>• La valeur technique : 60%</w:t>
      </w:r>
    </w:p>
    <w:p w14:paraId="076BEB17" w14:textId="77777777" w:rsidR="00D17097" w:rsidRDefault="00D17097">
      <w:pPr>
        <w:rPr>
          <w:rFonts w:ascii="Arial" w:hAnsi="Arial" w:cs="Arial"/>
        </w:rPr>
      </w:pPr>
    </w:p>
    <w:p w14:paraId="26B850B1" w14:textId="77777777" w:rsidR="00E62EB2" w:rsidRDefault="00602483">
      <w:pPr>
        <w:pStyle w:val="Normal1"/>
        <w:rPr>
          <w:rFonts w:ascii="Arial" w:hAnsi="Arial" w:cs="Arial"/>
          <w:sz w:val="20"/>
        </w:rPr>
      </w:pPr>
      <w:r>
        <w:rPr>
          <w:rFonts w:ascii="Arial" w:hAnsi="Arial" w:cs="Arial"/>
          <w:sz w:val="20"/>
        </w:rPr>
        <w:t xml:space="preserve">Ce critère sera évalué au vu du contenu des éléments du mémoire technique : </w:t>
      </w:r>
    </w:p>
    <w:p w14:paraId="58B0443B" w14:textId="77777777" w:rsidR="0093253B" w:rsidRDefault="00E62EB2" w:rsidP="00E62EB2">
      <w:pPr>
        <w:pStyle w:val="Normal1"/>
        <w:numPr>
          <w:ilvl w:val="0"/>
          <w:numId w:val="3"/>
        </w:numPr>
        <w:rPr>
          <w:rFonts w:ascii="Arial" w:hAnsi="Arial" w:cs="Arial"/>
          <w:sz w:val="20"/>
        </w:rPr>
      </w:pPr>
      <w:proofErr w:type="gramStart"/>
      <w:r>
        <w:rPr>
          <w:rFonts w:ascii="Arial" w:hAnsi="Arial" w:cs="Arial"/>
          <w:sz w:val="20"/>
        </w:rPr>
        <w:t>méthodologie</w:t>
      </w:r>
      <w:proofErr w:type="gramEnd"/>
      <w:r>
        <w:rPr>
          <w:rFonts w:ascii="Arial" w:hAnsi="Arial" w:cs="Arial"/>
          <w:sz w:val="20"/>
        </w:rPr>
        <w:t>, comprenant notamment : analyse des cont</w:t>
      </w:r>
      <w:r w:rsidR="0093253B">
        <w:rPr>
          <w:rFonts w:ascii="Arial" w:hAnsi="Arial" w:cs="Arial"/>
          <w:sz w:val="20"/>
        </w:rPr>
        <w:t>raintes du site et méthodologie</w:t>
      </w:r>
    </w:p>
    <w:p w14:paraId="53CA1C52" w14:textId="2E251A15" w:rsidR="00E62EB2" w:rsidRDefault="0093253B" w:rsidP="0093253B">
      <w:pPr>
        <w:pStyle w:val="Normal1"/>
        <w:ind w:firstLine="0"/>
        <w:rPr>
          <w:rFonts w:ascii="Arial" w:hAnsi="Arial" w:cs="Arial"/>
          <w:sz w:val="20"/>
        </w:rPr>
      </w:pPr>
      <w:r>
        <w:rPr>
          <w:rFonts w:ascii="Arial" w:hAnsi="Arial" w:cs="Arial"/>
          <w:sz w:val="20"/>
        </w:rPr>
        <w:t xml:space="preserve">     </w:t>
      </w:r>
      <w:proofErr w:type="gramStart"/>
      <w:r w:rsidR="00E62EB2">
        <w:rPr>
          <w:rFonts w:ascii="Arial" w:hAnsi="Arial" w:cs="Arial"/>
          <w:sz w:val="20"/>
        </w:rPr>
        <w:t>d'intervention</w:t>
      </w:r>
      <w:proofErr w:type="gramEnd"/>
      <w:r w:rsidR="00E62EB2">
        <w:rPr>
          <w:rFonts w:ascii="Arial" w:hAnsi="Arial" w:cs="Arial"/>
          <w:sz w:val="20"/>
        </w:rPr>
        <w:t xml:space="preserve"> (25 points), </w:t>
      </w:r>
    </w:p>
    <w:p w14:paraId="41419ABE" w14:textId="14DCEDC1" w:rsidR="00E62EB2" w:rsidRDefault="00E62EB2" w:rsidP="00E62EB2">
      <w:pPr>
        <w:pStyle w:val="Normal1"/>
        <w:numPr>
          <w:ilvl w:val="0"/>
          <w:numId w:val="3"/>
        </w:numPr>
        <w:rPr>
          <w:rFonts w:ascii="Arial" w:hAnsi="Arial" w:cs="Arial"/>
          <w:sz w:val="20"/>
        </w:rPr>
      </w:pPr>
      <w:proofErr w:type="gramStart"/>
      <w:r>
        <w:rPr>
          <w:rFonts w:ascii="Arial" w:hAnsi="Arial" w:cs="Arial"/>
          <w:sz w:val="20"/>
        </w:rPr>
        <w:t>moyens</w:t>
      </w:r>
      <w:proofErr w:type="gramEnd"/>
      <w:r>
        <w:rPr>
          <w:rFonts w:ascii="Arial" w:hAnsi="Arial" w:cs="Arial"/>
          <w:sz w:val="20"/>
        </w:rPr>
        <w:t xml:space="preserve"> matériels affectés au chantier (15 points) </w:t>
      </w:r>
    </w:p>
    <w:p w14:paraId="70345E00" w14:textId="51B20194" w:rsidR="00E62EB2" w:rsidRDefault="00602483" w:rsidP="00E62EB2">
      <w:pPr>
        <w:pStyle w:val="Normal1"/>
        <w:numPr>
          <w:ilvl w:val="0"/>
          <w:numId w:val="3"/>
        </w:numPr>
        <w:rPr>
          <w:rFonts w:ascii="Arial" w:hAnsi="Arial" w:cs="Arial"/>
          <w:sz w:val="20"/>
        </w:rPr>
      </w:pPr>
      <w:proofErr w:type="gramStart"/>
      <w:r>
        <w:rPr>
          <w:rFonts w:ascii="Arial" w:hAnsi="Arial" w:cs="Arial"/>
          <w:sz w:val="20"/>
        </w:rPr>
        <w:t>adéquation</w:t>
      </w:r>
      <w:proofErr w:type="gramEnd"/>
      <w:r>
        <w:rPr>
          <w:rFonts w:ascii="Arial" w:hAnsi="Arial" w:cs="Arial"/>
          <w:sz w:val="20"/>
        </w:rPr>
        <w:t xml:space="preserve"> des principales fournitures</w:t>
      </w:r>
      <w:r w:rsidR="00E62EB2">
        <w:rPr>
          <w:rFonts w:ascii="Arial" w:hAnsi="Arial" w:cs="Arial"/>
          <w:sz w:val="20"/>
        </w:rPr>
        <w:t xml:space="preserve"> et végétaux</w:t>
      </w:r>
      <w:r>
        <w:rPr>
          <w:rFonts w:ascii="Arial" w:hAnsi="Arial" w:cs="Arial"/>
          <w:sz w:val="20"/>
        </w:rPr>
        <w:t xml:space="preserve"> avec le CCTP et documentation</w:t>
      </w:r>
      <w:r w:rsidR="00E62EB2">
        <w:rPr>
          <w:rFonts w:ascii="Arial" w:hAnsi="Arial" w:cs="Arial"/>
          <w:sz w:val="20"/>
        </w:rPr>
        <w:t xml:space="preserve"> technique de ces fournitures (</w:t>
      </w:r>
      <w:r w:rsidR="0093253B">
        <w:rPr>
          <w:rFonts w:ascii="Arial" w:hAnsi="Arial" w:cs="Arial"/>
          <w:sz w:val="20"/>
        </w:rPr>
        <w:t>5</w:t>
      </w:r>
      <w:r>
        <w:rPr>
          <w:rFonts w:ascii="Arial" w:hAnsi="Arial" w:cs="Arial"/>
          <w:sz w:val="20"/>
        </w:rPr>
        <w:t xml:space="preserve"> points), </w:t>
      </w:r>
    </w:p>
    <w:p w14:paraId="6114BB8C" w14:textId="7C1BF54D" w:rsidR="00E62EB2" w:rsidRDefault="00602483" w:rsidP="00E62EB2">
      <w:pPr>
        <w:pStyle w:val="Normal1"/>
        <w:numPr>
          <w:ilvl w:val="0"/>
          <w:numId w:val="3"/>
        </w:numPr>
        <w:rPr>
          <w:rFonts w:ascii="Arial" w:hAnsi="Arial" w:cs="Arial"/>
          <w:sz w:val="20"/>
        </w:rPr>
      </w:pPr>
      <w:proofErr w:type="gramStart"/>
      <w:r>
        <w:rPr>
          <w:rFonts w:ascii="Arial" w:hAnsi="Arial" w:cs="Arial"/>
          <w:sz w:val="20"/>
        </w:rPr>
        <w:t>planning</w:t>
      </w:r>
      <w:proofErr w:type="gramEnd"/>
      <w:r>
        <w:rPr>
          <w:rFonts w:ascii="Arial" w:hAnsi="Arial" w:cs="Arial"/>
          <w:sz w:val="20"/>
        </w:rPr>
        <w:t xml:space="preserve"> des travaux (</w:t>
      </w:r>
      <w:r w:rsidR="0093253B">
        <w:rPr>
          <w:rFonts w:ascii="Arial" w:hAnsi="Arial" w:cs="Arial"/>
          <w:sz w:val="20"/>
        </w:rPr>
        <w:t>10</w:t>
      </w:r>
      <w:r>
        <w:rPr>
          <w:rFonts w:ascii="Arial" w:hAnsi="Arial" w:cs="Arial"/>
          <w:sz w:val="20"/>
        </w:rPr>
        <w:t xml:space="preserve"> points),  </w:t>
      </w:r>
    </w:p>
    <w:p w14:paraId="52267F96" w14:textId="3209893B" w:rsidR="00D17097" w:rsidRDefault="00602483" w:rsidP="00E62EB2">
      <w:pPr>
        <w:pStyle w:val="Normal1"/>
        <w:numPr>
          <w:ilvl w:val="0"/>
          <w:numId w:val="3"/>
        </w:numPr>
        <w:rPr>
          <w:rFonts w:ascii="Arial" w:hAnsi="Arial" w:cs="Arial"/>
          <w:sz w:val="20"/>
        </w:rPr>
      </w:pPr>
      <w:proofErr w:type="gramStart"/>
      <w:r>
        <w:rPr>
          <w:rFonts w:ascii="Arial" w:hAnsi="Arial" w:cs="Arial"/>
          <w:sz w:val="20"/>
        </w:rPr>
        <w:t>moyens</w:t>
      </w:r>
      <w:proofErr w:type="gramEnd"/>
      <w:r>
        <w:rPr>
          <w:rFonts w:ascii="Arial" w:hAnsi="Arial" w:cs="Arial"/>
          <w:sz w:val="20"/>
        </w:rPr>
        <w:t xml:space="preserve"> humains </w:t>
      </w:r>
      <w:r w:rsidR="00E62EB2">
        <w:rPr>
          <w:rFonts w:ascii="Arial" w:hAnsi="Arial" w:cs="Arial"/>
          <w:sz w:val="20"/>
        </w:rPr>
        <w:t xml:space="preserve">affectés au </w:t>
      </w:r>
      <w:r>
        <w:rPr>
          <w:rFonts w:ascii="Arial" w:hAnsi="Arial" w:cs="Arial"/>
          <w:sz w:val="20"/>
        </w:rPr>
        <w:t>chantier</w:t>
      </w:r>
      <w:r w:rsidR="00E62EB2">
        <w:rPr>
          <w:rFonts w:ascii="Arial" w:hAnsi="Arial" w:cs="Arial"/>
          <w:sz w:val="20"/>
        </w:rPr>
        <w:t xml:space="preserve"> (effectifs, qualifications)</w:t>
      </w:r>
      <w:r>
        <w:rPr>
          <w:rFonts w:ascii="Arial" w:hAnsi="Arial" w:cs="Arial"/>
          <w:color w:val="008000"/>
          <w:sz w:val="20"/>
        </w:rPr>
        <w:t xml:space="preserve"> </w:t>
      </w:r>
      <w:r>
        <w:rPr>
          <w:rFonts w:ascii="Arial" w:hAnsi="Arial" w:cs="Arial"/>
          <w:sz w:val="20"/>
        </w:rPr>
        <w:t>(5 points).</w:t>
      </w:r>
    </w:p>
    <w:p w14:paraId="32E26EC8" w14:textId="77777777" w:rsidR="00E62EB2" w:rsidRDefault="00E62EB2">
      <w:pPr>
        <w:rPr>
          <w:rFonts w:ascii="Arial" w:hAnsi="Arial" w:cs="Arial"/>
          <w:b/>
        </w:rPr>
      </w:pPr>
    </w:p>
    <w:p w14:paraId="33C0BA09" w14:textId="77777777" w:rsidR="00E62EB2" w:rsidRDefault="00E62EB2">
      <w:pPr>
        <w:rPr>
          <w:rFonts w:ascii="Arial" w:hAnsi="Arial" w:cs="Arial"/>
          <w:b/>
        </w:rPr>
      </w:pPr>
    </w:p>
    <w:p w14:paraId="03ADBAC6" w14:textId="77777777" w:rsidR="00E62EB2" w:rsidRDefault="00E62EB2">
      <w:pPr>
        <w:rPr>
          <w:rFonts w:ascii="Arial" w:hAnsi="Arial" w:cs="Arial"/>
          <w:b/>
        </w:rPr>
      </w:pPr>
    </w:p>
    <w:p w14:paraId="62CE24C4" w14:textId="77777777" w:rsidR="00D17097" w:rsidRDefault="00602483">
      <w:pPr>
        <w:rPr>
          <w:rFonts w:ascii="Arial" w:hAnsi="Arial" w:cs="Arial"/>
          <w:b/>
        </w:rPr>
      </w:pPr>
      <w:r>
        <w:rPr>
          <w:rFonts w:ascii="Arial" w:hAnsi="Arial" w:cs="Arial"/>
          <w:b/>
        </w:rPr>
        <w:lastRenderedPageBreak/>
        <w:t>• Le prix : 40%</w:t>
      </w:r>
    </w:p>
    <w:p w14:paraId="19654D92" w14:textId="77777777" w:rsidR="00D17097" w:rsidRDefault="00D17097">
      <w:pPr>
        <w:rPr>
          <w:rFonts w:ascii="Arial" w:hAnsi="Arial" w:cs="Arial"/>
        </w:rPr>
      </w:pPr>
    </w:p>
    <w:p w14:paraId="5E5D8FC3" w14:textId="77777777" w:rsidR="00D17097" w:rsidRDefault="00602483">
      <w:pPr>
        <w:pStyle w:val="Normal1"/>
        <w:rPr>
          <w:rFonts w:ascii="Arial" w:hAnsi="Arial" w:cs="Arial"/>
          <w:sz w:val="20"/>
        </w:rPr>
      </w:pPr>
      <w:r>
        <w:rPr>
          <w:rFonts w:ascii="Arial" w:hAnsi="Arial" w:cs="Arial"/>
          <w:sz w:val="20"/>
        </w:rPr>
        <w:t>Ce critère sera évalué :</w:t>
      </w:r>
    </w:p>
    <w:p w14:paraId="46610EBF" w14:textId="77777777" w:rsidR="00D17097" w:rsidRDefault="00602483">
      <w:pPr>
        <w:pStyle w:val="Normal1"/>
        <w:rPr>
          <w:rFonts w:ascii="Arial" w:hAnsi="Arial" w:cs="Arial"/>
          <w:sz w:val="20"/>
        </w:rPr>
      </w:pPr>
      <w:r>
        <w:rPr>
          <w:rFonts w:ascii="Arial" w:hAnsi="Arial" w:cs="Arial"/>
          <w:sz w:val="20"/>
        </w:rPr>
        <w:tab/>
      </w:r>
      <w:r>
        <w:rPr>
          <w:rFonts w:ascii="Arial" w:hAnsi="Arial" w:cs="Arial"/>
          <w:sz w:val="20"/>
        </w:rPr>
        <w:tab/>
        <w:t>- après vérification matérielle des offres et corrections éventuelles comme précisé ci-avant,</w:t>
      </w:r>
    </w:p>
    <w:p w14:paraId="147F863D" w14:textId="77777777" w:rsidR="00D17097" w:rsidRDefault="00602483">
      <w:pPr>
        <w:pStyle w:val="Normal1"/>
        <w:rPr>
          <w:rFonts w:ascii="Arial" w:hAnsi="Arial" w:cs="Arial"/>
          <w:sz w:val="20"/>
        </w:rPr>
      </w:pPr>
      <w:r>
        <w:rPr>
          <w:rFonts w:ascii="Arial" w:hAnsi="Arial" w:cs="Arial"/>
          <w:sz w:val="20"/>
        </w:rPr>
        <w:tab/>
      </w:r>
      <w:r>
        <w:rPr>
          <w:rFonts w:ascii="Arial" w:hAnsi="Arial" w:cs="Arial"/>
          <w:sz w:val="20"/>
        </w:rPr>
        <w:tab/>
        <w:t>- après élimination des offres anormalement basses.</w:t>
      </w:r>
    </w:p>
    <w:p w14:paraId="7B4D8542" w14:textId="77777777" w:rsidR="00D17097" w:rsidRDefault="00D17097">
      <w:pPr>
        <w:pStyle w:val="Normal1"/>
        <w:rPr>
          <w:rFonts w:ascii="Arial" w:hAnsi="Arial" w:cs="Arial"/>
          <w:sz w:val="20"/>
        </w:rPr>
      </w:pPr>
    </w:p>
    <w:p w14:paraId="67FE3088" w14:textId="77777777" w:rsidR="00D17097" w:rsidRDefault="00D17097">
      <w:pPr>
        <w:pStyle w:val="Normal1"/>
        <w:rPr>
          <w:rFonts w:ascii="Arial" w:hAnsi="Arial" w:cs="Arial"/>
          <w:sz w:val="20"/>
        </w:rPr>
      </w:pPr>
    </w:p>
    <w:p w14:paraId="1D98BF7A" w14:textId="77777777" w:rsidR="00D17097" w:rsidRDefault="00602483">
      <w:pPr>
        <w:pStyle w:val="Normal1"/>
        <w:rPr>
          <w:rFonts w:ascii="Arial" w:hAnsi="Arial" w:cs="Arial"/>
          <w:sz w:val="20"/>
        </w:rPr>
      </w:pPr>
      <w:r>
        <w:rPr>
          <w:rFonts w:ascii="Arial" w:hAnsi="Arial" w:cs="Arial"/>
          <w:sz w:val="20"/>
        </w:rPr>
        <w:t>Des points seront attribués à chaque offre comme suit :</w:t>
      </w:r>
    </w:p>
    <w:p w14:paraId="07F67EA5" w14:textId="77777777" w:rsidR="00D17097" w:rsidRDefault="00602483">
      <w:pPr>
        <w:ind w:firstLine="708"/>
        <w:rPr>
          <w:rFonts w:ascii="Arial" w:hAnsi="Arial" w:cs="Arial"/>
        </w:rPr>
      </w:pPr>
      <w:r>
        <w:rPr>
          <w:rFonts w:ascii="Arial" w:hAnsi="Arial" w:cs="Arial"/>
        </w:rPr>
        <w:t>- l’entreprise qui offre la valeur la moins élevée obtient la note maximum (40), sous réserve :</w:t>
      </w:r>
    </w:p>
    <w:p w14:paraId="166532D2" w14:textId="77777777" w:rsidR="00D17097" w:rsidRDefault="00602483">
      <w:pPr>
        <w:ind w:left="1588"/>
        <w:rPr>
          <w:rFonts w:ascii="Arial" w:hAnsi="Arial" w:cs="Arial"/>
        </w:rPr>
      </w:pPr>
      <w:r>
        <w:rPr>
          <w:rFonts w:ascii="Arial" w:hAnsi="Arial" w:cs="Arial"/>
        </w:rPr>
        <w:t xml:space="preserve">• que l’offre soit jugée conforme à l’objet du marché </w:t>
      </w:r>
    </w:p>
    <w:p w14:paraId="435B6294" w14:textId="77777777" w:rsidR="00D17097" w:rsidRDefault="00602483">
      <w:pPr>
        <w:ind w:left="1588"/>
        <w:rPr>
          <w:rFonts w:ascii="Arial" w:hAnsi="Arial" w:cs="Arial"/>
        </w:rPr>
      </w:pPr>
      <w:r>
        <w:rPr>
          <w:rFonts w:ascii="Arial" w:hAnsi="Arial" w:cs="Arial"/>
        </w:rPr>
        <w:t>• que l’offre ne soit pas déclarée comme étant anormalement basse.</w:t>
      </w:r>
    </w:p>
    <w:p w14:paraId="23E19BC3" w14:textId="77777777" w:rsidR="00D17097" w:rsidRDefault="00D17097">
      <w:pPr>
        <w:rPr>
          <w:rFonts w:ascii="Arial" w:hAnsi="Arial" w:cs="Arial"/>
        </w:rPr>
      </w:pPr>
    </w:p>
    <w:p w14:paraId="21215312" w14:textId="77777777" w:rsidR="00D17097" w:rsidRDefault="00602483">
      <w:pPr>
        <w:pStyle w:val="Normal1"/>
        <w:rPr>
          <w:rFonts w:ascii="Arial" w:hAnsi="Arial" w:cs="Arial"/>
          <w:sz w:val="20"/>
        </w:rPr>
      </w:pPr>
      <w:r>
        <w:rPr>
          <w:rFonts w:ascii="Arial" w:hAnsi="Arial" w:cs="Arial"/>
          <w:sz w:val="20"/>
        </w:rPr>
        <w:t>- pour les autres : (valeur la moins élevée / valeur de l’entreprise considérée) x 40 (échelle de note).</w:t>
      </w:r>
    </w:p>
    <w:p w14:paraId="167C9B1B" w14:textId="77777777" w:rsidR="00D17097" w:rsidRDefault="00D17097">
      <w:pPr>
        <w:rPr>
          <w:rFonts w:ascii="Arial" w:hAnsi="Arial" w:cs="Arial"/>
        </w:rPr>
      </w:pPr>
    </w:p>
    <w:p w14:paraId="45570BD0" w14:textId="77777777" w:rsidR="00D17097" w:rsidRDefault="00602483">
      <w:pPr>
        <w:pStyle w:val="Titre21"/>
      </w:pPr>
      <w:bookmarkStart w:id="38" w:name="_Toc464134985"/>
      <w:r>
        <w:t>8.3 – Négociation</w:t>
      </w:r>
      <w:bookmarkEnd w:id="38"/>
      <w:r>
        <w:t> </w:t>
      </w:r>
    </w:p>
    <w:p w14:paraId="376CFC76" w14:textId="77777777" w:rsidR="00D17097" w:rsidRDefault="00D17097">
      <w:pPr>
        <w:pStyle w:val="En-tte1"/>
        <w:tabs>
          <w:tab w:val="clear" w:pos="4536"/>
          <w:tab w:val="clear" w:pos="9072"/>
        </w:tabs>
        <w:jc w:val="both"/>
        <w:rPr>
          <w:rFonts w:ascii="Arial" w:hAnsi="Arial" w:cs="Arial"/>
          <w:b/>
        </w:rPr>
      </w:pPr>
    </w:p>
    <w:p w14:paraId="6B1E02CC" w14:textId="7CEF8A52" w:rsidR="00D17097" w:rsidRDefault="00602483">
      <w:pPr>
        <w:jc w:val="both"/>
        <w:rPr>
          <w:rFonts w:ascii="Arial" w:hAnsi="Arial" w:cs="Arial"/>
        </w:rPr>
      </w:pPr>
      <w:r>
        <w:rPr>
          <w:rFonts w:ascii="Arial" w:hAnsi="Arial" w:cs="Arial"/>
        </w:rPr>
        <w:t>L’acheteur peut attribuer le marché public sur la base des offres initiales sans négociation, mais se réserve la possibilité de le faire. En cas de négociation, tous les aspects de l’offre pourront être négociés (le prix et la valeur technique).</w:t>
      </w:r>
    </w:p>
    <w:p w14:paraId="795E3455" w14:textId="77777777" w:rsidR="00D17097" w:rsidRDefault="00D17097">
      <w:pPr>
        <w:jc w:val="both"/>
        <w:rPr>
          <w:rFonts w:ascii="Arial" w:hAnsi="Arial" w:cs="Arial"/>
        </w:rPr>
      </w:pPr>
    </w:p>
    <w:p w14:paraId="2E0A9432" w14:textId="77777777" w:rsidR="00D17097" w:rsidRDefault="00602483">
      <w:pPr>
        <w:pStyle w:val="Titre21"/>
      </w:pPr>
      <w:bookmarkStart w:id="39" w:name="_Toc464134986"/>
      <w:r>
        <w:t>8.4 – Visite du site</w:t>
      </w:r>
      <w:bookmarkEnd w:id="39"/>
      <w:r>
        <w:t> </w:t>
      </w:r>
    </w:p>
    <w:p w14:paraId="66E40A9E" w14:textId="77777777" w:rsidR="00D17097" w:rsidRDefault="00D17097">
      <w:pPr>
        <w:pStyle w:val="Corpsdetexte"/>
        <w:ind w:left="708"/>
        <w:rPr>
          <w:rFonts w:ascii="Arial" w:hAnsi="Arial" w:cs="Arial"/>
        </w:rPr>
      </w:pPr>
    </w:p>
    <w:p w14:paraId="5EB34E49" w14:textId="77777777" w:rsidR="00324CDA" w:rsidRDefault="00602483">
      <w:pPr>
        <w:pStyle w:val="Corpsdetexte"/>
        <w:rPr>
          <w:rFonts w:ascii="Arial" w:hAnsi="Arial" w:cs="Arial"/>
        </w:rPr>
      </w:pPr>
      <w:r>
        <w:rPr>
          <w:rFonts w:ascii="Arial" w:hAnsi="Arial" w:cs="Arial"/>
        </w:rPr>
        <w:t xml:space="preserve">La visite du site est obligatoire. </w:t>
      </w:r>
      <w:r w:rsidR="0093253B">
        <w:rPr>
          <w:rFonts w:ascii="Arial" w:hAnsi="Arial" w:cs="Arial"/>
        </w:rPr>
        <w:t xml:space="preserve">Elle aura lieu le </w:t>
      </w:r>
      <w:r w:rsidR="0093253B" w:rsidRPr="00324CDA">
        <w:rPr>
          <w:rFonts w:ascii="Arial" w:hAnsi="Arial" w:cs="Arial"/>
          <w:b/>
        </w:rPr>
        <w:t>mardi 04 Février</w:t>
      </w:r>
      <w:r w:rsidR="00324CDA">
        <w:rPr>
          <w:rFonts w:ascii="Arial" w:hAnsi="Arial" w:cs="Arial"/>
          <w:b/>
        </w:rPr>
        <w:t xml:space="preserve"> 2025</w:t>
      </w:r>
      <w:r w:rsidR="0093253B" w:rsidRPr="00324CDA">
        <w:rPr>
          <w:rFonts w:ascii="Arial" w:hAnsi="Arial" w:cs="Arial"/>
          <w:b/>
        </w:rPr>
        <w:t xml:space="preserve"> à 11h00</w:t>
      </w:r>
      <w:r w:rsidR="0093253B">
        <w:rPr>
          <w:rFonts w:ascii="Arial" w:hAnsi="Arial" w:cs="Arial"/>
        </w:rPr>
        <w:t xml:space="preserve">. </w:t>
      </w:r>
    </w:p>
    <w:p w14:paraId="6D3B78F8" w14:textId="1C13B6AD" w:rsidR="0093253B" w:rsidRDefault="0093253B">
      <w:pPr>
        <w:pStyle w:val="Corpsdetexte"/>
        <w:rPr>
          <w:rFonts w:ascii="Arial" w:hAnsi="Arial" w:cs="Arial"/>
        </w:rPr>
      </w:pPr>
      <w:r>
        <w:rPr>
          <w:rFonts w:ascii="Arial" w:hAnsi="Arial" w:cs="Arial"/>
        </w:rPr>
        <w:t>L'entreprise prendra contact au préalable avec le</w:t>
      </w:r>
      <w:r w:rsidR="00E22DB8">
        <w:rPr>
          <w:rFonts w:ascii="Arial" w:hAnsi="Arial" w:cs="Arial"/>
        </w:rPr>
        <w:t xml:space="preserve"> </w:t>
      </w:r>
      <w:r>
        <w:rPr>
          <w:rFonts w:ascii="Arial" w:hAnsi="Arial" w:cs="Arial"/>
        </w:rPr>
        <w:t xml:space="preserve">Maître d'œuvre (C. Vangheluwe) pour confirmer sa présence, soit par téléphone au 06 88 46 71 17, soit par mail : </w:t>
      </w:r>
      <w:hyperlink r:id="rId11" w:history="1">
        <w:r w:rsidRPr="005A67C2">
          <w:rPr>
            <w:rStyle w:val="Lienhypertexte"/>
            <w:rFonts w:ascii="Arial" w:hAnsi="Arial" w:cs="Arial"/>
          </w:rPr>
          <w:t>cvangheluwe@wanadoo.fr</w:t>
        </w:r>
      </w:hyperlink>
    </w:p>
    <w:p w14:paraId="5578420A" w14:textId="3DFBA88D" w:rsidR="00D17097" w:rsidRDefault="0093253B">
      <w:pPr>
        <w:pStyle w:val="Corpsdetexte"/>
        <w:rPr>
          <w:rFonts w:ascii="Arial" w:hAnsi="Arial" w:cs="Arial"/>
        </w:rPr>
      </w:pPr>
      <w:r>
        <w:rPr>
          <w:rFonts w:ascii="Arial" w:hAnsi="Arial" w:cs="Arial"/>
        </w:rPr>
        <w:t>A l'issue de la visite, le MOE</w:t>
      </w:r>
      <w:r w:rsidR="00E22DB8">
        <w:rPr>
          <w:rFonts w:ascii="Arial" w:hAnsi="Arial" w:cs="Arial"/>
        </w:rPr>
        <w:t xml:space="preserve"> délivrera un certificat de visite à joindre à l'offre.</w:t>
      </w:r>
    </w:p>
    <w:p w14:paraId="018A5007" w14:textId="77777777" w:rsidR="00D17097" w:rsidRDefault="00D17097">
      <w:pPr>
        <w:jc w:val="both"/>
        <w:rPr>
          <w:rFonts w:ascii="Arial" w:hAnsi="Arial" w:cs="Arial"/>
        </w:rPr>
      </w:pPr>
    </w:p>
    <w:p w14:paraId="322CE094" w14:textId="77777777" w:rsidR="00D17097" w:rsidRDefault="00602483">
      <w:pPr>
        <w:pStyle w:val="Titre11"/>
      </w:pPr>
      <w:bookmarkStart w:id="40" w:name="_Toc464134987"/>
      <w:r>
        <w:t>ARTICLE 9 – RENSEIGNEMENTS DIVERS</w:t>
      </w:r>
      <w:bookmarkEnd w:id="40"/>
    </w:p>
    <w:p w14:paraId="7EB064E8" w14:textId="77777777" w:rsidR="00D17097" w:rsidRDefault="00D17097">
      <w:pPr>
        <w:jc w:val="both"/>
        <w:rPr>
          <w:rFonts w:ascii="Arial" w:hAnsi="Arial" w:cs="Arial"/>
          <w:b/>
        </w:rPr>
      </w:pPr>
    </w:p>
    <w:p w14:paraId="501C0723" w14:textId="77777777" w:rsidR="00D17097" w:rsidRDefault="00602483">
      <w:pPr>
        <w:pStyle w:val="Titre21"/>
      </w:pPr>
      <w:bookmarkStart w:id="41" w:name="_Toc464134988"/>
      <w:r>
        <w:t>9.1 – Contenu du Dossier de Consultation des Entreprises (DCE)</w:t>
      </w:r>
      <w:bookmarkEnd w:id="41"/>
      <w:r>
        <w:t> </w:t>
      </w:r>
    </w:p>
    <w:p w14:paraId="5E4AACB2" w14:textId="77777777" w:rsidR="00D17097" w:rsidRDefault="00D17097">
      <w:pPr>
        <w:jc w:val="both"/>
        <w:rPr>
          <w:rFonts w:ascii="Arial" w:hAnsi="Arial" w:cs="Arial"/>
          <w:b/>
        </w:rPr>
      </w:pPr>
    </w:p>
    <w:p w14:paraId="71D0007A" w14:textId="77777777" w:rsidR="00D17097" w:rsidRDefault="00602483">
      <w:pPr>
        <w:pStyle w:val="Retraitcorpsdetexte3"/>
        <w:spacing w:after="120"/>
        <w:ind w:left="284" w:hanging="284"/>
        <w:rPr>
          <w:sz w:val="20"/>
          <w:szCs w:val="20"/>
        </w:rPr>
      </w:pPr>
      <w:r>
        <w:rPr>
          <w:sz w:val="20"/>
          <w:szCs w:val="20"/>
        </w:rPr>
        <w:t>Le Dossier de Consultation des Entreprises (DCE) comprend les documents suivants :</w:t>
      </w:r>
    </w:p>
    <w:p w14:paraId="53AF4407" w14:textId="77777777" w:rsidR="00D17097" w:rsidRDefault="00602483">
      <w:pPr>
        <w:numPr>
          <w:ilvl w:val="0"/>
          <w:numId w:val="1"/>
        </w:numPr>
        <w:spacing w:after="60"/>
        <w:ind w:left="924" w:hanging="357"/>
        <w:jc w:val="both"/>
        <w:rPr>
          <w:rFonts w:ascii="Arial" w:hAnsi="Arial" w:cs="Arial"/>
        </w:rPr>
      </w:pPr>
      <w:r>
        <w:rPr>
          <w:rFonts w:ascii="Arial" w:hAnsi="Arial" w:cs="Arial"/>
        </w:rPr>
        <w:t>Un règlement de la consultation (RC),</w:t>
      </w:r>
    </w:p>
    <w:p w14:paraId="05D19631" w14:textId="49FE63A2" w:rsidR="00D17097" w:rsidRDefault="00602483">
      <w:pPr>
        <w:pStyle w:val="Textebrut"/>
        <w:numPr>
          <w:ilvl w:val="0"/>
          <w:numId w:val="2"/>
        </w:numPr>
        <w:spacing w:after="60"/>
        <w:jc w:val="both"/>
        <w:rPr>
          <w:rFonts w:ascii="Arial" w:hAnsi="Arial" w:cs="Arial"/>
        </w:rPr>
      </w:pPr>
      <w:r>
        <w:rPr>
          <w:rFonts w:ascii="Arial" w:hAnsi="Arial" w:cs="Arial"/>
          <w:bCs/>
        </w:rPr>
        <w:t xml:space="preserve">Un Acte d’Engagement </w:t>
      </w:r>
    </w:p>
    <w:p w14:paraId="547B7A84" w14:textId="77777777" w:rsidR="00D17097" w:rsidRDefault="00602483">
      <w:pPr>
        <w:pStyle w:val="Textebrut"/>
        <w:numPr>
          <w:ilvl w:val="0"/>
          <w:numId w:val="2"/>
        </w:numPr>
        <w:spacing w:after="60"/>
        <w:jc w:val="both"/>
        <w:rPr>
          <w:rFonts w:ascii="Arial" w:hAnsi="Arial" w:cs="Arial"/>
        </w:rPr>
      </w:pPr>
      <w:r>
        <w:rPr>
          <w:rFonts w:ascii="Arial" w:hAnsi="Arial" w:cs="Arial"/>
          <w:bCs/>
        </w:rPr>
        <w:t>Un Cahier des Clauses Administratives Particulières (CCAP),</w:t>
      </w:r>
    </w:p>
    <w:p w14:paraId="2017F3F2" w14:textId="77777777" w:rsidR="00D17097" w:rsidRDefault="00602483">
      <w:pPr>
        <w:pStyle w:val="En-tte1"/>
        <w:numPr>
          <w:ilvl w:val="0"/>
          <w:numId w:val="2"/>
        </w:numPr>
        <w:tabs>
          <w:tab w:val="clear" w:pos="4536"/>
          <w:tab w:val="clear" w:pos="9072"/>
        </w:tabs>
        <w:spacing w:after="60"/>
        <w:jc w:val="both"/>
        <w:rPr>
          <w:rFonts w:ascii="Arial" w:hAnsi="Arial" w:cs="Arial"/>
        </w:rPr>
      </w:pPr>
      <w:r>
        <w:rPr>
          <w:rFonts w:ascii="Arial" w:hAnsi="Arial" w:cs="Arial"/>
        </w:rPr>
        <w:t>Un C</w:t>
      </w:r>
      <w:r>
        <w:rPr>
          <w:rFonts w:ascii="Arial" w:hAnsi="Arial" w:cs="Arial"/>
          <w:bCs/>
        </w:rPr>
        <w:t>ahier des Clauses Techniques Particulières (CCTP), </w:t>
      </w:r>
    </w:p>
    <w:p w14:paraId="51F64429" w14:textId="77777777" w:rsidR="00D17097" w:rsidRDefault="00602483">
      <w:pPr>
        <w:pStyle w:val="En-tte1"/>
        <w:numPr>
          <w:ilvl w:val="0"/>
          <w:numId w:val="2"/>
        </w:numPr>
        <w:tabs>
          <w:tab w:val="clear" w:pos="4536"/>
          <w:tab w:val="clear" w:pos="9072"/>
        </w:tabs>
        <w:spacing w:after="60"/>
        <w:jc w:val="both"/>
        <w:rPr>
          <w:rFonts w:ascii="Arial" w:hAnsi="Arial" w:cs="Arial"/>
        </w:rPr>
      </w:pPr>
      <w:r>
        <w:rPr>
          <w:rFonts w:ascii="Arial" w:hAnsi="Arial" w:cs="Arial"/>
        </w:rPr>
        <w:t xml:space="preserve">Les plans d'aménagement </w:t>
      </w:r>
    </w:p>
    <w:p w14:paraId="6FA1AA0A" w14:textId="254E5ACE" w:rsidR="00D17097" w:rsidRDefault="00602483">
      <w:pPr>
        <w:pStyle w:val="En-tte1"/>
        <w:numPr>
          <w:ilvl w:val="0"/>
          <w:numId w:val="2"/>
        </w:numPr>
        <w:tabs>
          <w:tab w:val="clear" w:pos="4536"/>
          <w:tab w:val="clear" w:pos="9072"/>
        </w:tabs>
        <w:spacing w:after="60"/>
        <w:jc w:val="both"/>
        <w:rPr>
          <w:rFonts w:ascii="Arial" w:hAnsi="Arial" w:cs="Arial"/>
        </w:rPr>
      </w:pPr>
      <w:r>
        <w:rPr>
          <w:rFonts w:ascii="Arial" w:hAnsi="Arial" w:cs="Arial"/>
        </w:rPr>
        <w:t xml:space="preserve">Une DPGF </w:t>
      </w:r>
    </w:p>
    <w:p w14:paraId="280536F9" w14:textId="77777777" w:rsidR="00D17097" w:rsidRDefault="00D17097">
      <w:pPr>
        <w:ind w:left="567"/>
        <w:jc w:val="both"/>
        <w:rPr>
          <w:rFonts w:ascii="Arial" w:hAnsi="Arial" w:cs="Arial"/>
        </w:rPr>
      </w:pPr>
    </w:p>
    <w:p w14:paraId="6B1AB350" w14:textId="77777777" w:rsidR="00D17097" w:rsidRDefault="00602483">
      <w:pPr>
        <w:pStyle w:val="Titre21"/>
      </w:pPr>
      <w:bookmarkStart w:id="42" w:name="_Toc464134989"/>
      <w:r>
        <w:t>9.2 – Renseignements complémentaires</w:t>
      </w:r>
      <w:bookmarkEnd w:id="42"/>
      <w:r>
        <w:t> </w:t>
      </w:r>
    </w:p>
    <w:p w14:paraId="7A5E017D" w14:textId="77777777" w:rsidR="00D17097" w:rsidRDefault="00D17097">
      <w:pPr>
        <w:pStyle w:val="ParagrapheIndent2"/>
        <w:spacing w:line="233" w:lineRule="exact"/>
        <w:ind w:left="20" w:right="-152"/>
        <w:jc w:val="both"/>
        <w:rPr>
          <w:rFonts w:ascii="Arial" w:hAnsi="Arial" w:cs="Arial"/>
          <w:color w:val="000000"/>
          <w:lang w:val="fr-FR"/>
        </w:rPr>
      </w:pPr>
    </w:p>
    <w:p w14:paraId="036C1B50" w14:textId="77777777" w:rsidR="00D17097" w:rsidRDefault="00602483">
      <w:pPr>
        <w:pStyle w:val="ParagrapheIndent2"/>
        <w:spacing w:line="233" w:lineRule="exact"/>
        <w:ind w:left="20" w:right="-152"/>
        <w:jc w:val="both"/>
      </w:pPr>
      <w:r>
        <w:rPr>
          <w:rFonts w:ascii="Arial" w:hAnsi="Arial" w:cs="Arial"/>
          <w:color w:val="000000"/>
          <w:lang w:val="fr-FR"/>
        </w:rPr>
        <w:t xml:space="preserve">Pour tout renseignement complémentaire concernant cette consultation, les candidats transmettent impérativement leur demande par l'intermédiaire du profil d'acheteur du pouvoir adjudicateur, </w:t>
      </w:r>
      <w:r>
        <w:rPr>
          <w:rStyle w:val="LienInternet"/>
          <w:rFonts w:ascii="ArialMT" w:hAnsi="ArialMT" w:cs="Arial"/>
          <w:color w:val="000000"/>
          <w:u w:val="none"/>
          <w:lang w:val="fr-FR"/>
        </w:rPr>
        <w:t>via la</w:t>
      </w:r>
    </w:p>
    <w:p w14:paraId="65608C20" w14:textId="77777777" w:rsidR="00D17097" w:rsidRDefault="00602483">
      <w:pPr>
        <w:jc w:val="both"/>
      </w:pPr>
      <w:proofErr w:type="gramStart"/>
      <w:r>
        <w:rPr>
          <w:rFonts w:ascii="ArialMT" w:hAnsi="ArialMT"/>
        </w:rPr>
        <w:t>plateforme</w:t>
      </w:r>
      <w:proofErr w:type="gramEnd"/>
      <w:r>
        <w:rPr>
          <w:rFonts w:ascii="ArialMT" w:hAnsi="ArialMT"/>
        </w:rPr>
        <w:t xml:space="preserve"> du Centre de Gestion du Nord (CDG59) à l’adresse du profil acheteur :</w:t>
      </w:r>
    </w:p>
    <w:p w14:paraId="43EC8D14" w14:textId="01B7E645" w:rsidR="00D17097" w:rsidRDefault="00F76377">
      <w:pPr>
        <w:spacing w:line="233" w:lineRule="exact"/>
        <w:ind w:left="20" w:right="-152"/>
        <w:jc w:val="both"/>
      </w:pPr>
      <w:r>
        <w:rPr>
          <w:rStyle w:val="LienInternet"/>
          <w:rFonts w:ascii="ArialMT" w:hAnsi="ArialMT"/>
        </w:rPr>
        <w:t>marchés-sécurisés.fr</w:t>
      </w:r>
    </w:p>
    <w:p w14:paraId="64ED0FDB" w14:textId="77777777" w:rsidR="00D17097" w:rsidRDefault="00D17097">
      <w:pPr>
        <w:spacing w:line="233" w:lineRule="exact"/>
        <w:ind w:left="20" w:right="-152"/>
        <w:jc w:val="both"/>
        <w:rPr>
          <w:lang w:val="en-US" w:eastAsia="en-US"/>
        </w:rPr>
      </w:pPr>
    </w:p>
    <w:p w14:paraId="75862B5B" w14:textId="77777777" w:rsidR="00D17097" w:rsidRDefault="00602483">
      <w:pPr>
        <w:pStyle w:val="ParagrapheIndent2"/>
        <w:spacing w:after="240" w:line="233" w:lineRule="exact"/>
        <w:ind w:left="20" w:right="-1"/>
        <w:jc w:val="both"/>
        <w:rPr>
          <w:rFonts w:ascii="Arial" w:hAnsi="Arial" w:cs="Arial"/>
          <w:color w:val="000000"/>
          <w:lang w:val="fr-FR"/>
        </w:rPr>
      </w:pPr>
      <w:r>
        <w:rPr>
          <w:rFonts w:ascii="Arial" w:hAnsi="Arial" w:cs="Arial"/>
          <w:color w:val="000000"/>
          <w:lang w:val="fr-FR"/>
        </w:rPr>
        <w:t>Cette demande doit intervenir au plus tard 8 jours avant la date limite de réception des offres.</w:t>
      </w:r>
    </w:p>
    <w:p w14:paraId="373A4A5B" w14:textId="77777777" w:rsidR="00D17097" w:rsidRDefault="00602483">
      <w:pPr>
        <w:pStyle w:val="ParagrapheIndent2"/>
        <w:spacing w:after="240" w:line="233" w:lineRule="exact"/>
        <w:ind w:left="20" w:right="-152"/>
        <w:jc w:val="both"/>
        <w:rPr>
          <w:rFonts w:ascii="Arial" w:hAnsi="Arial" w:cs="Arial"/>
          <w:color w:val="000000"/>
          <w:lang w:val="fr-FR"/>
        </w:rPr>
      </w:pPr>
      <w:r>
        <w:rPr>
          <w:rFonts w:ascii="Arial" w:hAnsi="Arial" w:cs="Arial"/>
          <w:color w:val="000000"/>
          <w:lang w:val="fr-FR"/>
        </w:rPr>
        <w:t>Une réponse sera alors adressée, à toutes les entreprises ayant retiré le dossier ou l'ayant téléchargé après identification, 6 jours au plus tard avant la date limite de réception des offres.</w:t>
      </w:r>
    </w:p>
    <w:p w14:paraId="5243481E" w14:textId="77777777" w:rsidR="00D17097" w:rsidRDefault="00602483">
      <w:pPr>
        <w:pStyle w:val="Titre21"/>
      </w:pPr>
      <w:bookmarkStart w:id="43" w:name="_Toc256000026"/>
      <w:bookmarkStart w:id="44" w:name="_Toc464134990"/>
      <w:r>
        <w:t>9.3 - Procédures de recours</w:t>
      </w:r>
      <w:bookmarkEnd w:id="43"/>
      <w:bookmarkEnd w:id="44"/>
    </w:p>
    <w:p w14:paraId="7A32968A" w14:textId="77777777" w:rsidR="00D17097" w:rsidRDefault="00D17097">
      <w:pPr>
        <w:spacing w:line="233" w:lineRule="exact"/>
        <w:ind w:left="20" w:right="1140"/>
        <w:jc w:val="both"/>
        <w:rPr>
          <w:rFonts w:ascii="Trebuchet MS" w:eastAsia="Trebuchet MS" w:hAnsi="Trebuchet MS" w:cs="Trebuchet MS"/>
          <w:color w:val="000000"/>
          <w:szCs w:val="24"/>
          <w:lang w:eastAsia="en-US"/>
        </w:rPr>
      </w:pPr>
    </w:p>
    <w:p w14:paraId="01C61EB4" w14:textId="77777777" w:rsidR="00D17097" w:rsidRDefault="00602483">
      <w:pPr>
        <w:spacing w:line="233" w:lineRule="exact"/>
        <w:ind w:left="20" w:right="1140"/>
        <w:jc w:val="both"/>
        <w:rPr>
          <w:rFonts w:ascii="Arial" w:eastAsia="Trebuchet MS" w:hAnsi="Arial" w:cs="Arial"/>
          <w:color w:val="000000"/>
          <w:szCs w:val="24"/>
          <w:lang w:eastAsia="en-US"/>
        </w:rPr>
      </w:pPr>
      <w:r>
        <w:rPr>
          <w:rFonts w:ascii="Arial" w:eastAsia="Trebuchet MS" w:hAnsi="Arial" w:cs="Arial"/>
          <w:color w:val="000000"/>
          <w:szCs w:val="24"/>
          <w:lang w:eastAsia="en-US"/>
        </w:rPr>
        <w:t>Le tribunal territorialement compétent est :</w:t>
      </w:r>
    </w:p>
    <w:p w14:paraId="28948887" w14:textId="77777777" w:rsidR="00D17097" w:rsidRDefault="00602483">
      <w:pPr>
        <w:spacing w:line="233" w:lineRule="exact"/>
        <w:ind w:left="20" w:right="1140"/>
        <w:jc w:val="both"/>
        <w:rPr>
          <w:rFonts w:ascii="Arial" w:eastAsia="Trebuchet MS" w:hAnsi="Arial" w:cs="Arial"/>
          <w:color w:val="000000"/>
          <w:szCs w:val="24"/>
          <w:lang w:eastAsia="en-US"/>
        </w:rPr>
      </w:pPr>
      <w:r>
        <w:rPr>
          <w:rFonts w:ascii="Arial" w:eastAsia="Trebuchet MS" w:hAnsi="Arial" w:cs="Arial"/>
          <w:color w:val="000000"/>
          <w:szCs w:val="24"/>
          <w:lang w:eastAsia="en-US"/>
        </w:rPr>
        <w:t>Tribunal Administratif de Lille</w:t>
      </w:r>
    </w:p>
    <w:p w14:paraId="6546722B" w14:textId="77777777" w:rsidR="00D17097" w:rsidRDefault="00602483">
      <w:pPr>
        <w:spacing w:line="233" w:lineRule="exact"/>
        <w:ind w:left="20" w:right="1140"/>
        <w:jc w:val="both"/>
        <w:rPr>
          <w:rFonts w:ascii="Arial" w:eastAsia="Trebuchet MS" w:hAnsi="Arial" w:cs="Arial"/>
          <w:color w:val="000000"/>
          <w:szCs w:val="24"/>
          <w:lang w:eastAsia="en-US"/>
        </w:rPr>
      </w:pPr>
      <w:r>
        <w:rPr>
          <w:rFonts w:ascii="Arial" w:eastAsia="Trebuchet MS" w:hAnsi="Arial" w:cs="Arial"/>
          <w:color w:val="000000"/>
          <w:szCs w:val="24"/>
          <w:lang w:eastAsia="en-US"/>
        </w:rPr>
        <w:t>5 rue Geoffroy Saint Hilaire CS 62039</w:t>
      </w:r>
    </w:p>
    <w:p w14:paraId="5A96C545" w14:textId="77777777" w:rsidR="00D17097" w:rsidRDefault="00602483">
      <w:pPr>
        <w:spacing w:line="233" w:lineRule="exact"/>
        <w:ind w:left="20" w:right="1140"/>
        <w:jc w:val="both"/>
        <w:rPr>
          <w:rFonts w:ascii="Arial" w:eastAsia="Trebuchet MS" w:hAnsi="Arial" w:cs="Arial"/>
          <w:color w:val="000000"/>
          <w:szCs w:val="24"/>
          <w:lang w:eastAsia="en-US"/>
        </w:rPr>
      </w:pPr>
      <w:r>
        <w:rPr>
          <w:rFonts w:ascii="Arial" w:eastAsia="Trebuchet MS" w:hAnsi="Arial" w:cs="Arial"/>
          <w:color w:val="000000"/>
          <w:szCs w:val="24"/>
          <w:lang w:eastAsia="en-US"/>
        </w:rPr>
        <w:t>59014 Lille cedex</w:t>
      </w:r>
    </w:p>
    <w:p w14:paraId="651AC640" w14:textId="77777777" w:rsidR="00D17097" w:rsidRDefault="00D17097">
      <w:pPr>
        <w:spacing w:line="233" w:lineRule="exact"/>
        <w:ind w:left="20" w:right="1140"/>
        <w:jc w:val="both"/>
        <w:rPr>
          <w:rFonts w:ascii="Arial" w:eastAsia="Trebuchet MS" w:hAnsi="Arial" w:cs="Arial"/>
          <w:color w:val="000000"/>
          <w:szCs w:val="24"/>
          <w:lang w:eastAsia="en-US"/>
        </w:rPr>
      </w:pPr>
    </w:p>
    <w:p w14:paraId="4F346B74" w14:textId="77777777" w:rsidR="00D17097" w:rsidRDefault="00602483">
      <w:pPr>
        <w:spacing w:line="233" w:lineRule="exact"/>
        <w:ind w:left="20" w:right="1140"/>
        <w:jc w:val="both"/>
        <w:rPr>
          <w:rFonts w:ascii="Arial" w:eastAsia="Trebuchet MS" w:hAnsi="Arial" w:cs="Arial"/>
          <w:color w:val="000000"/>
          <w:szCs w:val="24"/>
          <w:lang w:eastAsia="en-US"/>
        </w:rPr>
      </w:pPr>
      <w:r>
        <w:rPr>
          <w:rFonts w:ascii="Arial" w:eastAsia="Trebuchet MS" w:hAnsi="Arial" w:cs="Arial"/>
          <w:color w:val="000000"/>
          <w:szCs w:val="24"/>
          <w:lang w:eastAsia="en-US"/>
        </w:rPr>
        <w:t>Tél : 03 59 54 23 42</w:t>
      </w:r>
    </w:p>
    <w:p w14:paraId="290B11B1" w14:textId="77777777" w:rsidR="00D17097" w:rsidRDefault="00602483">
      <w:pPr>
        <w:spacing w:line="233" w:lineRule="exact"/>
        <w:ind w:left="20" w:right="1140"/>
        <w:jc w:val="both"/>
        <w:rPr>
          <w:rFonts w:ascii="Arial" w:eastAsia="Trebuchet MS" w:hAnsi="Arial" w:cs="Arial"/>
          <w:color w:val="000000"/>
          <w:szCs w:val="24"/>
          <w:lang w:eastAsia="en-US"/>
        </w:rPr>
      </w:pPr>
      <w:r>
        <w:rPr>
          <w:rFonts w:ascii="Arial" w:eastAsia="Trebuchet MS" w:hAnsi="Arial" w:cs="Arial"/>
          <w:color w:val="000000"/>
          <w:szCs w:val="24"/>
          <w:lang w:eastAsia="en-US"/>
        </w:rPr>
        <w:t>Télécopie : 03 59 54 24 45</w:t>
      </w:r>
    </w:p>
    <w:p w14:paraId="28B270E5" w14:textId="77777777" w:rsidR="00D17097" w:rsidRDefault="00602483">
      <w:pPr>
        <w:spacing w:line="233" w:lineRule="exact"/>
        <w:ind w:left="20" w:right="1140"/>
        <w:jc w:val="both"/>
        <w:rPr>
          <w:rFonts w:ascii="Arial" w:eastAsia="Trebuchet MS" w:hAnsi="Arial" w:cs="Arial"/>
          <w:color w:val="000000"/>
          <w:szCs w:val="24"/>
          <w:lang w:eastAsia="en-US"/>
        </w:rPr>
      </w:pPr>
      <w:r>
        <w:rPr>
          <w:rFonts w:ascii="Arial" w:eastAsia="Trebuchet MS" w:hAnsi="Arial" w:cs="Arial"/>
          <w:color w:val="000000"/>
          <w:szCs w:val="24"/>
          <w:lang w:eastAsia="en-US"/>
        </w:rPr>
        <w:t xml:space="preserve">Courriel : </w:t>
      </w:r>
      <w:hyperlink r:id="rId12">
        <w:r>
          <w:rPr>
            <w:rFonts w:ascii="Arial" w:eastAsia="Trebuchet MS" w:hAnsi="Arial" w:cs="Arial"/>
            <w:color w:val="0563C1"/>
            <w:szCs w:val="24"/>
            <w:u w:val="single"/>
            <w:lang w:eastAsia="en-US"/>
          </w:rPr>
          <w:t>greffe.ta-lille@juradm.fr</w:t>
        </w:r>
      </w:hyperlink>
    </w:p>
    <w:p w14:paraId="60A1C081" w14:textId="77777777" w:rsidR="00D17097" w:rsidRDefault="00D17097">
      <w:pPr>
        <w:rPr>
          <w:rFonts w:ascii="Arial" w:hAnsi="Arial" w:cs="Arial"/>
          <w:sz w:val="24"/>
          <w:szCs w:val="24"/>
          <w:lang w:eastAsia="en-US"/>
        </w:rPr>
      </w:pPr>
    </w:p>
    <w:p w14:paraId="3863015C" w14:textId="77777777" w:rsidR="00D17097" w:rsidRDefault="00602483">
      <w:pPr>
        <w:spacing w:line="233" w:lineRule="exact"/>
        <w:ind w:left="20" w:right="-27"/>
        <w:jc w:val="both"/>
        <w:rPr>
          <w:rFonts w:ascii="Arial" w:eastAsia="Trebuchet MS" w:hAnsi="Arial" w:cs="Arial"/>
          <w:color w:val="000000"/>
          <w:szCs w:val="24"/>
          <w:lang w:eastAsia="en-US"/>
        </w:rPr>
      </w:pPr>
      <w:r>
        <w:rPr>
          <w:rFonts w:ascii="Arial" w:eastAsia="Trebuchet MS" w:hAnsi="Arial" w:cs="Arial"/>
          <w:color w:val="000000"/>
          <w:szCs w:val="24"/>
          <w:lang w:eastAsia="en-US"/>
        </w:rPr>
        <w:t>Les voies de recours ouvertes aux candidats sont les suivantes : Référé pré-contractuel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 Recours de pleine juridiction ouvert aux tiers justifiant d’un intérêt lésé, et pouvant être exercé dans les deux mois suivant la date à laquelle la conclusion du contrat est rendue publique</w:t>
      </w:r>
    </w:p>
    <w:p w14:paraId="493800DC" w14:textId="77777777" w:rsidR="00D17097" w:rsidRDefault="00D17097">
      <w:pPr>
        <w:spacing w:line="233" w:lineRule="exact"/>
        <w:ind w:left="20" w:right="20"/>
        <w:jc w:val="both"/>
        <w:rPr>
          <w:rFonts w:ascii="Arial" w:eastAsia="Trebuchet MS" w:hAnsi="Arial" w:cs="Arial"/>
          <w:color w:val="000000"/>
          <w:szCs w:val="24"/>
          <w:lang w:eastAsia="en-US"/>
        </w:rPr>
      </w:pPr>
    </w:p>
    <w:p w14:paraId="0485DAFB" w14:textId="77777777" w:rsidR="00D17097" w:rsidRDefault="00D17097">
      <w:pPr>
        <w:spacing w:line="233" w:lineRule="exact"/>
        <w:ind w:left="20" w:right="20"/>
        <w:jc w:val="both"/>
        <w:rPr>
          <w:rFonts w:ascii="Arial" w:eastAsia="Trebuchet MS" w:hAnsi="Arial" w:cs="Arial"/>
          <w:color w:val="000000"/>
          <w:szCs w:val="24"/>
          <w:lang w:eastAsia="en-US"/>
        </w:rPr>
      </w:pPr>
    </w:p>
    <w:p w14:paraId="1E2E879B" w14:textId="77777777" w:rsidR="00D17097" w:rsidRDefault="00602483">
      <w:pPr>
        <w:spacing w:line="233" w:lineRule="exact"/>
        <w:ind w:left="20" w:right="20"/>
        <w:jc w:val="both"/>
        <w:rPr>
          <w:rFonts w:ascii="Arial" w:eastAsia="Trebuchet MS" w:hAnsi="Arial" w:cs="Arial"/>
          <w:color w:val="000000"/>
          <w:szCs w:val="24"/>
          <w:lang w:eastAsia="en-US"/>
        </w:rPr>
      </w:pPr>
      <w:r>
        <w:rPr>
          <w:rFonts w:ascii="Arial" w:eastAsia="Trebuchet MS" w:hAnsi="Arial" w:cs="Arial"/>
          <w:color w:val="000000"/>
          <w:szCs w:val="24"/>
          <w:lang w:eastAsia="en-US"/>
        </w:rPr>
        <w:t>Pour obtenir des renseignements relatifs à l'introduction des recours, les candidats devront s'adresser à :</w:t>
      </w:r>
    </w:p>
    <w:p w14:paraId="7A151687" w14:textId="77777777" w:rsidR="00D17097" w:rsidRDefault="00602483">
      <w:pPr>
        <w:spacing w:line="233" w:lineRule="exact"/>
        <w:ind w:left="20" w:right="20"/>
        <w:jc w:val="both"/>
        <w:rPr>
          <w:rFonts w:ascii="Arial" w:eastAsia="Trebuchet MS" w:hAnsi="Arial" w:cs="Arial"/>
          <w:color w:val="000000"/>
          <w:szCs w:val="24"/>
          <w:lang w:eastAsia="en-US"/>
        </w:rPr>
      </w:pPr>
      <w:r>
        <w:rPr>
          <w:rFonts w:ascii="Arial" w:eastAsia="Trebuchet MS" w:hAnsi="Arial" w:cs="Arial"/>
          <w:color w:val="000000"/>
          <w:szCs w:val="24"/>
          <w:lang w:eastAsia="en-US"/>
        </w:rPr>
        <w:t>Tribunal Administratif de Lille</w:t>
      </w:r>
    </w:p>
    <w:p w14:paraId="160E355A" w14:textId="77777777" w:rsidR="00D17097" w:rsidRDefault="00602483">
      <w:pPr>
        <w:spacing w:line="233" w:lineRule="exact"/>
        <w:ind w:left="20" w:right="20"/>
        <w:jc w:val="both"/>
        <w:rPr>
          <w:rFonts w:ascii="Arial" w:eastAsia="Trebuchet MS" w:hAnsi="Arial" w:cs="Arial"/>
          <w:color w:val="000000"/>
          <w:szCs w:val="24"/>
          <w:lang w:eastAsia="en-US"/>
        </w:rPr>
      </w:pPr>
      <w:r>
        <w:rPr>
          <w:rFonts w:ascii="Arial" w:eastAsia="Trebuchet MS" w:hAnsi="Arial" w:cs="Arial"/>
          <w:color w:val="000000"/>
          <w:szCs w:val="24"/>
          <w:lang w:eastAsia="en-US"/>
        </w:rPr>
        <w:t>5 rue Geoffroy Saint Hilaire CS 62039</w:t>
      </w:r>
    </w:p>
    <w:p w14:paraId="3A217E5C" w14:textId="77777777" w:rsidR="00D17097" w:rsidRDefault="00602483">
      <w:pPr>
        <w:spacing w:line="233" w:lineRule="exact"/>
        <w:ind w:left="20" w:right="20"/>
        <w:jc w:val="both"/>
        <w:rPr>
          <w:rFonts w:ascii="Arial" w:eastAsia="Trebuchet MS" w:hAnsi="Arial" w:cs="Arial"/>
          <w:color w:val="000000"/>
          <w:szCs w:val="24"/>
          <w:lang w:eastAsia="en-US"/>
        </w:rPr>
      </w:pPr>
      <w:r>
        <w:rPr>
          <w:rFonts w:ascii="Arial" w:eastAsia="Trebuchet MS" w:hAnsi="Arial" w:cs="Arial"/>
          <w:color w:val="000000"/>
          <w:szCs w:val="24"/>
          <w:lang w:eastAsia="en-US"/>
        </w:rPr>
        <w:t>59014 Lille cedex</w:t>
      </w:r>
    </w:p>
    <w:p w14:paraId="31F95FE5" w14:textId="77777777" w:rsidR="00D17097" w:rsidRDefault="00D17097">
      <w:pPr>
        <w:spacing w:line="233" w:lineRule="exact"/>
        <w:ind w:left="20" w:right="20"/>
        <w:jc w:val="both"/>
        <w:rPr>
          <w:rFonts w:ascii="Arial" w:eastAsia="Trebuchet MS" w:hAnsi="Arial" w:cs="Arial"/>
          <w:color w:val="000000"/>
          <w:szCs w:val="24"/>
          <w:lang w:eastAsia="en-US"/>
        </w:rPr>
      </w:pPr>
    </w:p>
    <w:p w14:paraId="46E0B12D" w14:textId="77777777" w:rsidR="00D17097" w:rsidRDefault="00602483">
      <w:pPr>
        <w:spacing w:line="233" w:lineRule="exact"/>
        <w:ind w:left="20" w:right="20"/>
        <w:jc w:val="both"/>
        <w:rPr>
          <w:rFonts w:ascii="Arial" w:eastAsia="Trebuchet MS" w:hAnsi="Arial" w:cs="Arial"/>
          <w:color w:val="000000"/>
          <w:szCs w:val="24"/>
          <w:lang w:eastAsia="en-US"/>
        </w:rPr>
      </w:pPr>
      <w:r>
        <w:rPr>
          <w:rFonts w:ascii="Arial" w:eastAsia="Trebuchet MS" w:hAnsi="Arial" w:cs="Arial"/>
          <w:color w:val="000000"/>
          <w:szCs w:val="24"/>
          <w:lang w:eastAsia="en-US"/>
        </w:rPr>
        <w:t>Tél : 03 59 54 23 42</w:t>
      </w:r>
    </w:p>
    <w:p w14:paraId="34F9F526" w14:textId="77777777" w:rsidR="00D17097" w:rsidRDefault="00602483">
      <w:pPr>
        <w:spacing w:line="233" w:lineRule="exact"/>
        <w:ind w:left="20" w:right="20"/>
        <w:jc w:val="both"/>
        <w:rPr>
          <w:rFonts w:ascii="Arial" w:eastAsia="Trebuchet MS" w:hAnsi="Arial" w:cs="Arial"/>
          <w:color w:val="000000"/>
          <w:szCs w:val="24"/>
          <w:lang w:eastAsia="en-US"/>
        </w:rPr>
      </w:pPr>
      <w:r>
        <w:rPr>
          <w:rFonts w:ascii="Arial" w:eastAsia="Trebuchet MS" w:hAnsi="Arial" w:cs="Arial"/>
          <w:color w:val="000000"/>
          <w:szCs w:val="24"/>
          <w:lang w:eastAsia="en-US"/>
        </w:rPr>
        <w:t>Télécopie : 03 59 54 24 45</w:t>
      </w:r>
    </w:p>
    <w:p w14:paraId="743E788F" w14:textId="77777777" w:rsidR="00D17097" w:rsidRDefault="00602483">
      <w:pPr>
        <w:spacing w:line="233" w:lineRule="exact"/>
        <w:ind w:left="20" w:right="20"/>
        <w:jc w:val="both"/>
      </w:pPr>
      <w:r>
        <w:rPr>
          <w:rFonts w:ascii="Arial" w:eastAsia="Trebuchet MS" w:hAnsi="Arial" w:cs="Arial"/>
          <w:color w:val="000000"/>
          <w:szCs w:val="24"/>
          <w:lang w:eastAsia="en-US"/>
        </w:rPr>
        <w:t>Courriel : greffe.ta-lille@juradm.fr</w:t>
      </w:r>
    </w:p>
    <w:sectPr w:rsidR="00D17097">
      <w:headerReference w:type="default" r:id="rId13"/>
      <w:footerReference w:type="default" r:id="rId14"/>
      <w:type w:val="continuous"/>
      <w:pgSz w:w="11906" w:h="16838"/>
      <w:pgMar w:top="851" w:right="1418" w:bottom="1418" w:left="1418"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A8082" w14:textId="77777777" w:rsidR="00E62EB2" w:rsidRDefault="00E62EB2">
      <w:r>
        <w:separator/>
      </w:r>
    </w:p>
  </w:endnote>
  <w:endnote w:type="continuationSeparator" w:id="0">
    <w:p w14:paraId="7B7229B6" w14:textId="77777777" w:rsidR="00E62EB2" w:rsidRDefault="00E6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lask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A38D" w14:textId="3B793B36" w:rsidR="00E62EB2" w:rsidRDefault="00E62EB2">
    <w:pPr>
      <w:pStyle w:val="Pieddepage1"/>
      <w:pBdr>
        <w:bottom w:val="single" w:sz="4" w:space="1" w:color="000000"/>
      </w:pBdr>
    </w:pPr>
    <w:r>
      <w:t>Ville du Cateau Cambrésis</w:t>
    </w:r>
    <w:r>
      <w:tab/>
      <w:t xml:space="preserve">Règlement de Consultation </w:t>
    </w:r>
    <w:r>
      <w:tab/>
      <w:t xml:space="preserve">Page </w:t>
    </w:r>
    <w:r>
      <w:fldChar w:fldCharType="begin"/>
    </w:r>
    <w:r>
      <w:instrText>PAGE</w:instrText>
    </w:r>
    <w:r>
      <w:fldChar w:fldCharType="separate"/>
    </w:r>
    <w:r w:rsidR="00324CDA">
      <w:rPr>
        <w:noProof/>
      </w:rPr>
      <w:t>3</w:t>
    </w:r>
    <w:r>
      <w:fldChar w:fldCharType="end"/>
    </w:r>
    <w:r>
      <w:t xml:space="preserve"> sur </w:t>
    </w:r>
    <w:r>
      <w:fldChar w:fldCharType="begin"/>
    </w:r>
    <w:r>
      <w:instrText>NUMPAGES</w:instrText>
    </w:r>
    <w:r>
      <w:fldChar w:fldCharType="separate"/>
    </w:r>
    <w:r w:rsidR="00324CDA">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0E71" w14:textId="2D6EE988" w:rsidR="00E62EB2" w:rsidRDefault="00E62EB2">
    <w:pPr>
      <w:pStyle w:val="Pieddepage1"/>
      <w:pBdr>
        <w:bottom w:val="single" w:sz="4" w:space="1" w:color="000000"/>
      </w:pBdr>
    </w:pPr>
    <w:r>
      <w:t>V</w:t>
    </w:r>
    <w:r w:rsidR="00E22DB8">
      <w:t>ille du Cateau Cambrésis</w:t>
    </w:r>
    <w:r>
      <w:tab/>
      <w:t>Règlement de Consultation</w:t>
    </w:r>
    <w:r>
      <w:tab/>
      <w:t xml:space="preserve">Page </w:t>
    </w:r>
    <w:r>
      <w:fldChar w:fldCharType="begin"/>
    </w:r>
    <w:r>
      <w:instrText>PAGE</w:instrText>
    </w:r>
    <w:r>
      <w:fldChar w:fldCharType="separate"/>
    </w:r>
    <w:r w:rsidR="00324CDA">
      <w:rPr>
        <w:noProof/>
      </w:rPr>
      <w:t>10</w:t>
    </w:r>
    <w:r>
      <w:fldChar w:fldCharType="end"/>
    </w:r>
    <w:r>
      <w:t xml:space="preserve"> sur </w:t>
    </w:r>
    <w:r>
      <w:fldChar w:fldCharType="begin"/>
    </w:r>
    <w:r>
      <w:instrText>NUMPAGES</w:instrText>
    </w:r>
    <w:r>
      <w:fldChar w:fldCharType="separate"/>
    </w:r>
    <w:r w:rsidR="00324CDA">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7AC39" w14:textId="77777777" w:rsidR="00E62EB2" w:rsidRDefault="00E62EB2">
      <w:r>
        <w:separator/>
      </w:r>
    </w:p>
  </w:footnote>
  <w:footnote w:type="continuationSeparator" w:id="0">
    <w:p w14:paraId="2343AAFB" w14:textId="77777777" w:rsidR="00E62EB2" w:rsidRDefault="00E6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783A" w14:textId="7F9A4A5D" w:rsidR="00E62EB2" w:rsidRDefault="00E62EB2">
    <w:pPr>
      <w:pStyle w:val="En-tte1"/>
      <w:jc w:val="center"/>
    </w:pPr>
    <w:r>
      <w:t>Quartier Schweitzer – Aménagement de l'arboretum</w:t>
    </w:r>
  </w:p>
  <w:p w14:paraId="34D8210A" w14:textId="77777777" w:rsidR="00E62EB2" w:rsidRDefault="00E62EB2">
    <w:pPr>
      <w:pStyle w:val="En-tte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85B2" w14:textId="64BA6B92" w:rsidR="00E62EB2" w:rsidRDefault="00E62EB2" w:rsidP="001F5C94">
    <w:pPr>
      <w:pStyle w:val="En-tte1"/>
      <w:jc w:val="center"/>
    </w:pPr>
    <w:r>
      <w:t>Quartier Schweitzer – Aménagement de l'arboretum</w:t>
    </w:r>
  </w:p>
  <w:p w14:paraId="5478DA0D" w14:textId="77777777" w:rsidR="00E62EB2" w:rsidRDefault="00E62EB2">
    <w:pPr>
      <w:pStyle w:val="En-t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16E"/>
    <w:multiLevelType w:val="multilevel"/>
    <w:tmpl w:val="84844866"/>
    <w:lvl w:ilvl="0">
      <w:start w:val="5"/>
      <w:numFmt w:val="bullet"/>
      <w:lvlText w:val="-"/>
      <w:lvlJc w:val="left"/>
      <w:pPr>
        <w:tabs>
          <w:tab w:val="num" w:pos="927"/>
        </w:tabs>
        <w:ind w:left="927"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5935D75"/>
    <w:multiLevelType w:val="hybridMultilevel"/>
    <w:tmpl w:val="4C1C4106"/>
    <w:lvl w:ilvl="0" w:tplc="4418D3EA">
      <w:start w:val="2"/>
      <w:numFmt w:val="bullet"/>
      <w:lvlText w:val="-"/>
      <w:lvlJc w:val="left"/>
      <w:pPr>
        <w:ind w:left="3880" w:hanging="360"/>
      </w:pPr>
      <w:rPr>
        <w:rFonts w:ascii="Arial" w:eastAsia="Times New Roman" w:hAnsi="Arial" w:cs="Arial" w:hint="default"/>
      </w:rPr>
    </w:lvl>
    <w:lvl w:ilvl="1" w:tplc="040C0003" w:tentative="1">
      <w:start w:val="1"/>
      <w:numFmt w:val="bullet"/>
      <w:lvlText w:val="o"/>
      <w:lvlJc w:val="left"/>
      <w:pPr>
        <w:ind w:left="4600" w:hanging="360"/>
      </w:pPr>
      <w:rPr>
        <w:rFonts w:ascii="Courier New" w:hAnsi="Courier New" w:cs="Courier New" w:hint="default"/>
      </w:rPr>
    </w:lvl>
    <w:lvl w:ilvl="2" w:tplc="040C0005" w:tentative="1">
      <w:start w:val="1"/>
      <w:numFmt w:val="bullet"/>
      <w:lvlText w:val=""/>
      <w:lvlJc w:val="left"/>
      <w:pPr>
        <w:ind w:left="5320" w:hanging="360"/>
      </w:pPr>
      <w:rPr>
        <w:rFonts w:ascii="Wingdings" w:hAnsi="Wingdings" w:hint="default"/>
      </w:rPr>
    </w:lvl>
    <w:lvl w:ilvl="3" w:tplc="040C0001" w:tentative="1">
      <w:start w:val="1"/>
      <w:numFmt w:val="bullet"/>
      <w:lvlText w:val=""/>
      <w:lvlJc w:val="left"/>
      <w:pPr>
        <w:ind w:left="6040" w:hanging="360"/>
      </w:pPr>
      <w:rPr>
        <w:rFonts w:ascii="Symbol" w:hAnsi="Symbol" w:hint="default"/>
      </w:rPr>
    </w:lvl>
    <w:lvl w:ilvl="4" w:tplc="040C0003" w:tentative="1">
      <w:start w:val="1"/>
      <w:numFmt w:val="bullet"/>
      <w:lvlText w:val="o"/>
      <w:lvlJc w:val="left"/>
      <w:pPr>
        <w:ind w:left="6760" w:hanging="360"/>
      </w:pPr>
      <w:rPr>
        <w:rFonts w:ascii="Courier New" w:hAnsi="Courier New" w:cs="Courier New" w:hint="default"/>
      </w:rPr>
    </w:lvl>
    <w:lvl w:ilvl="5" w:tplc="040C0005" w:tentative="1">
      <w:start w:val="1"/>
      <w:numFmt w:val="bullet"/>
      <w:lvlText w:val=""/>
      <w:lvlJc w:val="left"/>
      <w:pPr>
        <w:ind w:left="7480" w:hanging="360"/>
      </w:pPr>
      <w:rPr>
        <w:rFonts w:ascii="Wingdings" w:hAnsi="Wingdings" w:hint="default"/>
      </w:rPr>
    </w:lvl>
    <w:lvl w:ilvl="6" w:tplc="040C0001" w:tentative="1">
      <w:start w:val="1"/>
      <w:numFmt w:val="bullet"/>
      <w:lvlText w:val=""/>
      <w:lvlJc w:val="left"/>
      <w:pPr>
        <w:ind w:left="8200" w:hanging="360"/>
      </w:pPr>
      <w:rPr>
        <w:rFonts w:ascii="Symbol" w:hAnsi="Symbol" w:hint="default"/>
      </w:rPr>
    </w:lvl>
    <w:lvl w:ilvl="7" w:tplc="040C0003" w:tentative="1">
      <w:start w:val="1"/>
      <w:numFmt w:val="bullet"/>
      <w:lvlText w:val="o"/>
      <w:lvlJc w:val="left"/>
      <w:pPr>
        <w:ind w:left="8920" w:hanging="360"/>
      </w:pPr>
      <w:rPr>
        <w:rFonts w:ascii="Courier New" w:hAnsi="Courier New" w:cs="Courier New" w:hint="default"/>
      </w:rPr>
    </w:lvl>
    <w:lvl w:ilvl="8" w:tplc="040C0005" w:tentative="1">
      <w:start w:val="1"/>
      <w:numFmt w:val="bullet"/>
      <w:lvlText w:val=""/>
      <w:lvlJc w:val="left"/>
      <w:pPr>
        <w:ind w:left="9640" w:hanging="360"/>
      </w:pPr>
      <w:rPr>
        <w:rFonts w:ascii="Wingdings" w:hAnsi="Wingdings" w:hint="default"/>
      </w:rPr>
    </w:lvl>
  </w:abstractNum>
  <w:abstractNum w:abstractNumId="2" w15:restartNumberingAfterBreak="0">
    <w:nsid w:val="24C4248C"/>
    <w:multiLevelType w:val="multilevel"/>
    <w:tmpl w:val="83E8C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B5F63BE"/>
    <w:multiLevelType w:val="multilevel"/>
    <w:tmpl w:val="58982F5C"/>
    <w:lvl w:ilvl="0">
      <w:start w:val="1"/>
      <w:numFmt w:val="bullet"/>
      <w:lvlText w:val="-"/>
      <w:lvlJc w:val="left"/>
      <w:pPr>
        <w:ind w:left="360" w:hanging="360"/>
      </w:pPr>
      <w:rPr>
        <w:rFonts w:ascii="Calibri" w:hAnsi="Calibri" w:cs="Times New Roman" w:hint="default"/>
        <w:sz w:val="20"/>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2A61F74"/>
    <w:multiLevelType w:val="multilevel"/>
    <w:tmpl w:val="D17AF64E"/>
    <w:lvl w:ilvl="0">
      <w:start w:val="16"/>
      <w:numFmt w:val="bullet"/>
      <w:lvlText w:val="-"/>
      <w:lvlJc w:val="left"/>
      <w:pPr>
        <w:tabs>
          <w:tab w:val="num" w:pos="927"/>
        </w:tabs>
        <w:ind w:left="927"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3158013">
    <w:abstractNumId w:val="0"/>
  </w:num>
  <w:num w:numId="2" w16cid:durableId="1972009070">
    <w:abstractNumId w:val="4"/>
  </w:num>
  <w:num w:numId="3" w16cid:durableId="268514871">
    <w:abstractNumId w:val="3"/>
  </w:num>
  <w:num w:numId="4" w16cid:durableId="1553273333">
    <w:abstractNumId w:val="2"/>
  </w:num>
  <w:num w:numId="5" w16cid:durableId="2019695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97"/>
    <w:rsid w:val="000713C7"/>
    <w:rsid w:val="001F5C94"/>
    <w:rsid w:val="00287D6F"/>
    <w:rsid w:val="003066EE"/>
    <w:rsid w:val="00324CDA"/>
    <w:rsid w:val="003B4D50"/>
    <w:rsid w:val="00580D94"/>
    <w:rsid w:val="00602483"/>
    <w:rsid w:val="00784DF8"/>
    <w:rsid w:val="0093253B"/>
    <w:rsid w:val="00AE12B2"/>
    <w:rsid w:val="00D17097"/>
    <w:rsid w:val="00D22805"/>
    <w:rsid w:val="00D90908"/>
    <w:rsid w:val="00E22DB8"/>
    <w:rsid w:val="00E62EB2"/>
    <w:rsid w:val="00E92F91"/>
    <w:rsid w:val="00F763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34094"/>
  <w15:docId w15:val="{78FFE284-E67E-4D03-82FA-96F7EDFC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3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58544A"/>
    <w:pPr>
      <w:keepNext/>
      <w:shd w:val="pct12" w:color="auto" w:fill="auto"/>
      <w:outlineLvl w:val="0"/>
    </w:pPr>
    <w:rPr>
      <w:rFonts w:ascii="Arial" w:hAnsi="Arial"/>
      <w:b/>
      <w:bCs/>
      <w:color w:val="0070C0"/>
      <w:sz w:val="28"/>
      <w:szCs w:val="32"/>
    </w:rPr>
  </w:style>
  <w:style w:type="paragraph" w:customStyle="1" w:styleId="Titre21">
    <w:name w:val="Titre 21"/>
    <w:basedOn w:val="Normal"/>
    <w:next w:val="Normal"/>
    <w:qFormat/>
    <w:rsid w:val="0058544A"/>
    <w:pPr>
      <w:keepNext/>
      <w:pBdr>
        <w:bottom w:val="single" w:sz="4" w:space="1" w:color="365F91"/>
      </w:pBdr>
      <w:outlineLvl w:val="1"/>
    </w:pPr>
    <w:rPr>
      <w:rFonts w:ascii="Arial" w:hAnsi="Arial"/>
      <w:b/>
      <w:bCs/>
      <w:color w:val="0070C0"/>
      <w:sz w:val="24"/>
      <w:szCs w:val="24"/>
    </w:rPr>
  </w:style>
  <w:style w:type="paragraph" w:customStyle="1" w:styleId="Titre31">
    <w:name w:val="Titre 31"/>
    <w:basedOn w:val="Normal"/>
    <w:next w:val="Normal"/>
    <w:qFormat/>
    <w:rsid w:val="00666796"/>
    <w:pPr>
      <w:keepNext/>
      <w:outlineLvl w:val="2"/>
    </w:pPr>
    <w:rPr>
      <w:b/>
      <w:bCs/>
      <w:sz w:val="24"/>
      <w:szCs w:val="24"/>
      <w:u w:val="single"/>
    </w:rPr>
  </w:style>
  <w:style w:type="paragraph" w:customStyle="1" w:styleId="Titre41">
    <w:name w:val="Titre 41"/>
    <w:basedOn w:val="Normal"/>
    <w:next w:val="Normal"/>
    <w:qFormat/>
    <w:pPr>
      <w:keepNext/>
      <w:jc w:val="center"/>
      <w:outlineLvl w:val="3"/>
    </w:pPr>
    <w:rPr>
      <w:rFonts w:ascii="Arial" w:hAnsi="Arial" w:cs="Arial"/>
      <w:b/>
      <w:bCs/>
      <w:sz w:val="22"/>
      <w:szCs w:val="22"/>
      <w:u w:val="single"/>
    </w:rPr>
  </w:style>
  <w:style w:type="paragraph" w:customStyle="1" w:styleId="Titre51">
    <w:name w:val="Titre 51"/>
    <w:basedOn w:val="Normal"/>
    <w:next w:val="Normal"/>
    <w:qFormat/>
    <w:pPr>
      <w:keepNext/>
      <w:jc w:val="center"/>
      <w:outlineLvl w:val="4"/>
    </w:pPr>
    <w:rPr>
      <w:rFonts w:ascii="Arial" w:hAnsi="Arial" w:cs="Arial"/>
      <w:sz w:val="22"/>
      <w:szCs w:val="22"/>
      <w:u w:val="single"/>
    </w:rPr>
  </w:style>
  <w:style w:type="paragraph" w:customStyle="1" w:styleId="Titre61">
    <w:name w:val="Titre 61"/>
    <w:basedOn w:val="Normal"/>
    <w:next w:val="Normal"/>
    <w:qFormat/>
    <w:pPr>
      <w:keepNext/>
      <w:jc w:val="center"/>
      <w:outlineLvl w:val="5"/>
    </w:pPr>
    <w:rPr>
      <w:rFonts w:ascii="Arial" w:hAnsi="Arial" w:cs="Arial"/>
      <w:b/>
      <w:bCs/>
      <w:sz w:val="22"/>
      <w:szCs w:val="22"/>
    </w:rPr>
  </w:style>
  <w:style w:type="paragraph" w:customStyle="1" w:styleId="Titre71">
    <w:name w:val="Titre 71"/>
    <w:basedOn w:val="Normal"/>
    <w:next w:val="Normal"/>
    <w:qFormat/>
    <w:pPr>
      <w:keepNext/>
      <w:jc w:val="both"/>
      <w:outlineLvl w:val="6"/>
    </w:pPr>
    <w:rPr>
      <w:b/>
      <w:bCs/>
    </w:rPr>
  </w:style>
  <w:style w:type="paragraph" w:customStyle="1" w:styleId="Titre81">
    <w:name w:val="Titre 81"/>
    <w:basedOn w:val="Normal"/>
    <w:next w:val="Normal"/>
    <w:qFormat/>
    <w:pPr>
      <w:keepNext/>
      <w:pBdr>
        <w:top w:val="dashSmallGap" w:sz="8" w:space="1" w:color="000000"/>
        <w:left w:val="dashSmallGap" w:sz="8" w:space="4" w:color="000000"/>
        <w:bottom w:val="dashSmallGap" w:sz="8" w:space="1" w:color="000000"/>
        <w:right w:val="dashSmallGap" w:sz="8" w:space="4" w:color="000000"/>
      </w:pBdr>
      <w:ind w:left="284" w:right="282"/>
      <w:jc w:val="center"/>
      <w:outlineLvl w:val="7"/>
    </w:pPr>
    <w:rPr>
      <w:rFonts w:ascii="Alaska" w:hAnsi="Alaska"/>
      <w:b/>
      <w:bCs/>
      <w:sz w:val="28"/>
      <w:szCs w:val="28"/>
    </w:rPr>
  </w:style>
  <w:style w:type="paragraph" w:customStyle="1" w:styleId="Titre91">
    <w:name w:val="Titre 91"/>
    <w:basedOn w:val="Normal"/>
    <w:next w:val="Normal"/>
    <w:qFormat/>
    <w:pPr>
      <w:keepNext/>
      <w:pBdr>
        <w:top w:val="dashSmallGap" w:sz="8" w:space="1" w:color="000000"/>
        <w:left w:val="dashSmallGap" w:sz="8" w:space="4" w:color="000000"/>
        <w:bottom w:val="dashSmallGap" w:sz="8" w:space="1" w:color="000000"/>
        <w:right w:val="dashSmallGap" w:sz="8" w:space="4" w:color="000000"/>
      </w:pBdr>
      <w:ind w:left="284" w:right="282"/>
      <w:jc w:val="center"/>
      <w:outlineLvl w:val="8"/>
    </w:pPr>
    <w:rPr>
      <w:rFonts w:ascii="Alaska" w:hAnsi="Alaska"/>
      <w:b/>
      <w:bCs/>
      <w:i/>
      <w:iCs/>
      <w:sz w:val="28"/>
      <w:szCs w:val="28"/>
    </w:rPr>
  </w:style>
  <w:style w:type="character" w:styleId="Numrodepage">
    <w:name w:val="page number"/>
    <w:basedOn w:val="Policepardfaut"/>
    <w:qFormat/>
  </w:style>
  <w:style w:type="character" w:customStyle="1" w:styleId="LienInternet">
    <w:name w:val="Lien Internet"/>
    <w:uiPriority w:val="99"/>
    <w:rsid w:val="006A0774"/>
    <w:rPr>
      <w:color w:val="0000FF"/>
      <w:u w:val="single"/>
    </w:rPr>
  </w:style>
  <w:style w:type="character" w:customStyle="1" w:styleId="TextebrutCar">
    <w:name w:val="Texte brut Car"/>
    <w:link w:val="Textebrut"/>
    <w:qFormat/>
    <w:rsid w:val="00F45D52"/>
    <w:rPr>
      <w:rFonts w:ascii="Courier New" w:hAnsi="Courier New" w:cs="Courier New"/>
      <w:lang w:val="fr-FR" w:eastAsia="fr-FR" w:bidi="ar-SA"/>
    </w:rPr>
  </w:style>
  <w:style w:type="character" w:styleId="Marquedecommentaire">
    <w:name w:val="annotation reference"/>
    <w:semiHidden/>
    <w:qFormat/>
    <w:rsid w:val="00931FBC"/>
    <w:rPr>
      <w:sz w:val="16"/>
      <w:szCs w:val="16"/>
    </w:rPr>
  </w:style>
  <w:style w:type="character" w:customStyle="1" w:styleId="TYPOARIALRegular10pt">
    <w:name w:val="TYPO ARIAL Regular 10pt"/>
    <w:uiPriority w:val="99"/>
    <w:qFormat/>
    <w:rsid w:val="001213F0"/>
    <w:rPr>
      <w:rFonts w:ascii="Arial" w:hAnsi="Arial" w:cs="Times New Roman"/>
      <w:color w:val="000000"/>
      <w:sz w:val="20"/>
    </w:rPr>
  </w:style>
  <w:style w:type="character" w:customStyle="1" w:styleId="En-tteCar">
    <w:name w:val="En-tête Car"/>
    <w:uiPriority w:val="99"/>
    <w:qFormat/>
    <w:rsid w:val="00B73D58"/>
  </w:style>
  <w:style w:type="character" w:customStyle="1" w:styleId="PieddepageCar">
    <w:name w:val="Pied de page Car"/>
    <w:link w:val="Pieddepage1"/>
    <w:uiPriority w:val="99"/>
    <w:qFormat/>
    <w:rsid w:val="00F378DE"/>
  </w:style>
  <w:style w:type="character" w:customStyle="1" w:styleId="Tableausimple31">
    <w:name w:val="Tableau simple 31"/>
    <w:uiPriority w:val="19"/>
    <w:qFormat/>
    <w:rsid w:val="00FF7A17"/>
    <w:rPr>
      <w:i/>
      <w:iCs/>
      <w:color w:val="808080"/>
    </w:rPr>
  </w:style>
  <w:style w:type="character" w:customStyle="1" w:styleId="Tableausimple41">
    <w:name w:val="Tableau simple 41"/>
    <w:uiPriority w:val="21"/>
    <w:qFormat/>
    <w:rsid w:val="00D41CD5"/>
    <w:rPr>
      <w:b/>
      <w:bCs/>
      <w:i/>
      <w:iCs/>
      <w:color w:val="4F81BD"/>
    </w:rPr>
  </w:style>
  <w:style w:type="character" w:customStyle="1" w:styleId="essaiCar">
    <w:name w:val="essai Car"/>
    <w:qFormat/>
    <w:rsid w:val="009E4F6E"/>
    <w:rPr>
      <w:rFonts w:ascii="Arial" w:hAnsi="Arial" w:cs="Arial"/>
      <w:b/>
      <w:color w:val="548DD4"/>
      <w:sz w:val="36"/>
      <w:szCs w:val="22"/>
    </w:rPr>
  </w:style>
  <w:style w:type="character" w:styleId="lev">
    <w:name w:val="Strong"/>
    <w:qFormat/>
    <w:rsid w:val="00D36AE7"/>
    <w:rPr>
      <w:b/>
      <w:bCs/>
    </w:rPr>
  </w:style>
  <w:style w:type="character" w:styleId="Accentuation">
    <w:name w:val="Emphasis"/>
    <w:qFormat/>
    <w:rsid w:val="00D36AE7"/>
    <w:rPr>
      <w:i/>
      <w:iCs/>
    </w:rPr>
  </w:style>
  <w:style w:type="character" w:customStyle="1" w:styleId="Sous-titreCar">
    <w:name w:val="Sous-titre Car"/>
    <w:qFormat/>
    <w:rsid w:val="00D36AE7"/>
    <w:rPr>
      <w:rFonts w:ascii="Cambria" w:eastAsia="Times New Roman" w:hAnsi="Cambria" w:cs="Times New Roman"/>
      <w:sz w:val="24"/>
      <w:szCs w:val="24"/>
    </w:rPr>
  </w:style>
  <w:style w:type="character" w:customStyle="1" w:styleId="TitreCar">
    <w:name w:val="Titre Car"/>
    <w:link w:val="Titre"/>
    <w:qFormat/>
    <w:rsid w:val="00D36AE7"/>
    <w:rPr>
      <w:rFonts w:ascii="Cambria" w:eastAsia="Times New Roman" w:hAnsi="Cambria" w:cs="Times New Roman"/>
      <w:b/>
      <w:bCs/>
      <w:kern w:val="2"/>
      <w:sz w:val="32"/>
      <w:szCs w:val="32"/>
    </w:rPr>
  </w:style>
  <w:style w:type="character" w:customStyle="1" w:styleId="fixedgrey">
    <w:name w:val="fixed_grey"/>
    <w:qFormat/>
    <w:rsid w:val="003922EF"/>
  </w:style>
  <w:style w:type="paragraph" w:styleId="Titre">
    <w:name w:val="Title"/>
    <w:basedOn w:val="Normal"/>
    <w:next w:val="Corpsdetexte"/>
    <w:link w:val="TitreCar"/>
    <w:qFormat/>
    <w:rsid w:val="00D36AE7"/>
    <w:pPr>
      <w:spacing w:before="240" w:after="60"/>
      <w:jc w:val="center"/>
      <w:outlineLvl w:val="0"/>
    </w:pPr>
    <w:rPr>
      <w:rFonts w:ascii="Cambria" w:hAnsi="Cambria"/>
      <w:b/>
      <w:bCs/>
      <w:kern w:val="2"/>
      <w:sz w:val="32"/>
      <w:szCs w:val="32"/>
    </w:rPr>
  </w:style>
  <w:style w:type="paragraph" w:styleId="Corpsdetexte">
    <w:name w:val="Body Text"/>
    <w:basedOn w:val="Normal"/>
    <w:pPr>
      <w:jc w:val="both"/>
    </w:pPr>
  </w:style>
  <w:style w:type="paragraph" w:styleId="Liste">
    <w:name w:val="List"/>
    <w:basedOn w:val="Corpsdetexte"/>
    <w:rPr>
      <w:rFonts w:cs="Arial"/>
    </w:rPr>
  </w:style>
  <w:style w:type="paragraph" w:customStyle="1" w:styleId="Lgende1">
    <w:name w:val="Légende1"/>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customStyle="1" w:styleId="En-tte1">
    <w:name w:val="En-tête1"/>
    <w:basedOn w:val="Normal"/>
    <w:uiPriority w:val="99"/>
    <w:pPr>
      <w:tabs>
        <w:tab w:val="center" w:pos="4536"/>
        <w:tab w:val="right" w:pos="9072"/>
      </w:tabs>
    </w:pPr>
  </w:style>
  <w:style w:type="paragraph" w:customStyle="1" w:styleId="Pieddepage1">
    <w:name w:val="Pied de page1"/>
    <w:basedOn w:val="Normal"/>
    <w:link w:val="PieddepageCar"/>
    <w:uiPriority w:val="99"/>
    <w:pPr>
      <w:tabs>
        <w:tab w:val="center" w:pos="4536"/>
        <w:tab w:val="right" w:pos="9072"/>
      </w:tabs>
    </w:pPr>
  </w:style>
  <w:style w:type="paragraph" w:styleId="Retraitcorpsdetexte">
    <w:name w:val="Body Text Indent"/>
    <w:basedOn w:val="Normal"/>
    <w:pPr>
      <w:ind w:left="284" w:firstLine="567"/>
    </w:pPr>
    <w:rPr>
      <w:rFonts w:ascii="Arial" w:hAnsi="Arial" w:cs="Arial"/>
      <w:sz w:val="22"/>
      <w:szCs w:val="22"/>
    </w:rPr>
  </w:style>
  <w:style w:type="paragraph" w:styleId="Normalcentr">
    <w:name w:val="Block Text"/>
    <w:basedOn w:val="Normal"/>
    <w:qFormat/>
    <w:pPr>
      <w:ind w:left="2268" w:right="2268"/>
      <w:jc w:val="center"/>
    </w:pPr>
  </w:style>
  <w:style w:type="paragraph" w:styleId="Textebrut">
    <w:name w:val="Plain Text"/>
    <w:basedOn w:val="Normal"/>
    <w:link w:val="TextebrutCar"/>
    <w:qFormat/>
    <w:rPr>
      <w:rFonts w:ascii="Courier New" w:hAnsi="Courier New" w:cs="Courier New"/>
    </w:rPr>
  </w:style>
  <w:style w:type="paragraph" w:customStyle="1" w:styleId="Listepuce2">
    <w:name w:val="Liste à puce 2"/>
    <w:basedOn w:val="Normal"/>
    <w:qFormat/>
    <w:pPr>
      <w:widowControl w:val="0"/>
      <w:spacing w:before="60"/>
      <w:ind w:left="851" w:hanging="284"/>
      <w:jc w:val="both"/>
    </w:pPr>
  </w:style>
  <w:style w:type="paragraph" w:customStyle="1" w:styleId="Listepuce3">
    <w:name w:val="Liste à puce 3"/>
    <w:basedOn w:val="Normal"/>
    <w:qFormat/>
    <w:pPr>
      <w:widowControl w:val="0"/>
      <w:spacing w:before="60"/>
      <w:ind w:left="1135" w:hanging="284"/>
      <w:jc w:val="both"/>
    </w:pPr>
  </w:style>
  <w:style w:type="paragraph" w:styleId="Retraitcorpsdetexte2">
    <w:name w:val="Body Text Indent 2"/>
    <w:basedOn w:val="Normal"/>
    <w:qFormat/>
    <w:pPr>
      <w:ind w:left="567"/>
      <w:jc w:val="both"/>
    </w:pPr>
    <w:rPr>
      <w:rFonts w:ascii="Arial" w:hAnsi="Arial" w:cs="Arial"/>
      <w:sz w:val="22"/>
      <w:szCs w:val="22"/>
    </w:rPr>
  </w:style>
  <w:style w:type="paragraph" w:styleId="Retraitcorpsdetexte3">
    <w:name w:val="Body Text Indent 3"/>
    <w:basedOn w:val="Normal"/>
    <w:qFormat/>
    <w:pPr>
      <w:ind w:left="705"/>
      <w:jc w:val="both"/>
    </w:pPr>
    <w:rPr>
      <w:rFonts w:ascii="Arial" w:hAnsi="Arial" w:cs="Arial"/>
      <w:sz w:val="22"/>
      <w:szCs w:val="22"/>
    </w:rPr>
  </w:style>
  <w:style w:type="paragraph" w:styleId="Textedebulles">
    <w:name w:val="Balloon Text"/>
    <w:basedOn w:val="Normal"/>
    <w:semiHidden/>
    <w:qFormat/>
    <w:rsid w:val="0019348B"/>
    <w:rPr>
      <w:rFonts w:ascii="Tahoma" w:hAnsi="Tahoma" w:cs="Tahoma"/>
      <w:sz w:val="16"/>
      <w:szCs w:val="16"/>
    </w:rPr>
  </w:style>
  <w:style w:type="paragraph" w:customStyle="1" w:styleId="RedTxt">
    <w:name w:val="RedTxt"/>
    <w:basedOn w:val="Normal"/>
    <w:qFormat/>
    <w:rsid w:val="00A44F7F"/>
    <w:pPr>
      <w:keepLines/>
      <w:widowControl w:val="0"/>
    </w:pPr>
    <w:rPr>
      <w:rFonts w:ascii="Arial" w:hAnsi="Arial" w:cs="Arial"/>
      <w:sz w:val="18"/>
      <w:szCs w:val="18"/>
    </w:rPr>
  </w:style>
  <w:style w:type="paragraph" w:customStyle="1" w:styleId="WW-Standard">
    <w:name w:val="WW-Standard"/>
    <w:qFormat/>
    <w:rsid w:val="00F45D52"/>
    <w:pPr>
      <w:suppressAutoHyphens/>
    </w:pPr>
    <w:rPr>
      <w:rFonts w:eastAsia="Arial"/>
      <w:kern w:val="2"/>
      <w:sz w:val="24"/>
      <w:szCs w:val="24"/>
      <w:lang w:eastAsia="ar-SA"/>
    </w:rPr>
  </w:style>
  <w:style w:type="paragraph" w:customStyle="1" w:styleId="RedaliaNormalCarCar">
    <w:name w:val="Redalia : Normal Car Car"/>
    <w:basedOn w:val="Normal"/>
    <w:qFormat/>
    <w:rsid w:val="00E827EA"/>
    <w:pPr>
      <w:widowControl w:val="0"/>
      <w:jc w:val="both"/>
    </w:pPr>
    <w:rPr>
      <w:rFonts w:ascii="Verdana" w:eastAsia="Calibri" w:hAnsi="Verdana"/>
      <w:sz w:val="18"/>
    </w:rPr>
  </w:style>
  <w:style w:type="paragraph" w:styleId="Commentaire">
    <w:name w:val="annotation text"/>
    <w:basedOn w:val="Normal"/>
    <w:semiHidden/>
    <w:qFormat/>
    <w:rsid w:val="00931FBC"/>
  </w:style>
  <w:style w:type="paragraph" w:styleId="Objetducommentaire">
    <w:name w:val="annotation subject"/>
    <w:basedOn w:val="Commentaire"/>
    <w:next w:val="Commentaire"/>
    <w:semiHidden/>
    <w:qFormat/>
    <w:rsid w:val="00931FBC"/>
    <w:rPr>
      <w:b/>
      <w:bCs/>
    </w:rPr>
  </w:style>
  <w:style w:type="paragraph" w:customStyle="1" w:styleId="TXTCENTRE">
    <w:name w:val="** TXT CENTRE"/>
    <w:basedOn w:val="Normal"/>
    <w:uiPriority w:val="99"/>
    <w:qFormat/>
    <w:rsid w:val="001213F0"/>
    <w:pPr>
      <w:tabs>
        <w:tab w:val="left" w:pos="454"/>
        <w:tab w:val="left" w:pos="567"/>
      </w:tabs>
      <w:spacing w:line="240" w:lineRule="exact"/>
    </w:pPr>
    <w:rPr>
      <w:rFonts w:ascii="Arial" w:hAnsi="Arial" w:cs="Arial"/>
      <w:szCs w:val="24"/>
    </w:rPr>
  </w:style>
  <w:style w:type="paragraph" w:styleId="NormalWeb">
    <w:name w:val="Normal (Web)"/>
    <w:basedOn w:val="Normal"/>
    <w:qFormat/>
    <w:rsid w:val="00D90A2C"/>
    <w:pPr>
      <w:suppressAutoHyphens/>
      <w:spacing w:before="100" w:after="100"/>
    </w:pPr>
    <w:rPr>
      <w:sz w:val="24"/>
      <w:szCs w:val="24"/>
      <w:lang w:eastAsia="zh-CN"/>
    </w:rPr>
  </w:style>
  <w:style w:type="paragraph" w:customStyle="1" w:styleId="essai">
    <w:name w:val="essai"/>
    <w:basedOn w:val="Normal"/>
    <w:qFormat/>
    <w:rsid w:val="009E4F6E"/>
    <w:pPr>
      <w:pBdr>
        <w:top w:val="double" w:sz="4" w:space="1" w:color="548DD4"/>
        <w:left w:val="double" w:sz="4" w:space="4" w:color="548DD4"/>
        <w:bottom w:val="double" w:sz="4" w:space="1" w:color="548DD4"/>
        <w:right w:val="double" w:sz="4" w:space="4" w:color="548DD4"/>
      </w:pBdr>
      <w:ind w:left="284" w:right="282"/>
      <w:jc w:val="center"/>
    </w:pPr>
    <w:rPr>
      <w:rFonts w:ascii="Arial" w:hAnsi="Arial" w:cs="Arial"/>
      <w:b/>
      <w:color w:val="548DD4"/>
      <w:sz w:val="36"/>
      <w:szCs w:val="22"/>
    </w:rPr>
  </w:style>
  <w:style w:type="paragraph" w:styleId="Sous-titre">
    <w:name w:val="Subtitle"/>
    <w:basedOn w:val="Normal"/>
    <w:next w:val="Normal"/>
    <w:qFormat/>
    <w:rsid w:val="00D36AE7"/>
    <w:pPr>
      <w:spacing w:after="60"/>
      <w:jc w:val="center"/>
      <w:outlineLvl w:val="1"/>
    </w:pPr>
    <w:rPr>
      <w:rFonts w:ascii="Cambria" w:hAnsi="Cambria"/>
      <w:sz w:val="24"/>
      <w:szCs w:val="24"/>
    </w:rPr>
  </w:style>
  <w:style w:type="paragraph" w:customStyle="1" w:styleId="TableauGrille31">
    <w:name w:val="Tableau Grille 31"/>
    <w:basedOn w:val="Titre11"/>
    <w:next w:val="Normal"/>
    <w:uiPriority w:val="39"/>
    <w:semiHidden/>
    <w:unhideWhenUsed/>
    <w:qFormat/>
    <w:rsid w:val="00583FC8"/>
    <w:pPr>
      <w:keepLines/>
      <w:shd w:val="clear" w:color="auto" w:fill="DFDFDF"/>
      <w:spacing w:before="480" w:line="276" w:lineRule="auto"/>
    </w:pPr>
    <w:rPr>
      <w:rFonts w:ascii="Cambria" w:hAnsi="Cambria"/>
      <w:color w:val="365F91"/>
      <w:szCs w:val="28"/>
    </w:rPr>
  </w:style>
  <w:style w:type="paragraph" w:customStyle="1" w:styleId="TM21">
    <w:name w:val="TM 21"/>
    <w:basedOn w:val="Normal"/>
    <w:next w:val="Normal"/>
    <w:autoRedefine/>
    <w:uiPriority w:val="39"/>
    <w:unhideWhenUsed/>
    <w:qFormat/>
    <w:rsid w:val="00583FC8"/>
    <w:rPr>
      <w:rFonts w:ascii="Calibri" w:hAnsi="Calibri"/>
      <w:b/>
      <w:bCs/>
      <w:smallCaps/>
      <w:sz w:val="22"/>
      <w:szCs w:val="22"/>
    </w:rPr>
  </w:style>
  <w:style w:type="paragraph" w:customStyle="1" w:styleId="TM11">
    <w:name w:val="TM 11"/>
    <w:basedOn w:val="Normal"/>
    <w:next w:val="Normal"/>
    <w:autoRedefine/>
    <w:uiPriority w:val="39"/>
    <w:unhideWhenUsed/>
    <w:qFormat/>
    <w:rsid w:val="00583FC8"/>
    <w:pPr>
      <w:spacing w:before="360" w:after="360"/>
    </w:pPr>
    <w:rPr>
      <w:rFonts w:ascii="Calibri" w:hAnsi="Calibri"/>
      <w:b/>
      <w:bCs/>
      <w:caps/>
      <w:sz w:val="22"/>
      <w:szCs w:val="22"/>
      <w:u w:val="single"/>
    </w:rPr>
  </w:style>
  <w:style w:type="paragraph" w:customStyle="1" w:styleId="TM31">
    <w:name w:val="TM 31"/>
    <w:basedOn w:val="Normal"/>
    <w:next w:val="Normal"/>
    <w:autoRedefine/>
    <w:uiPriority w:val="39"/>
    <w:unhideWhenUsed/>
    <w:qFormat/>
    <w:rsid w:val="00583FC8"/>
    <w:rPr>
      <w:rFonts w:ascii="Calibri" w:hAnsi="Calibri"/>
      <w:smallCaps/>
      <w:sz w:val="22"/>
      <w:szCs w:val="22"/>
    </w:rPr>
  </w:style>
  <w:style w:type="paragraph" w:customStyle="1" w:styleId="TM41">
    <w:name w:val="TM 41"/>
    <w:basedOn w:val="Normal"/>
    <w:next w:val="Normal"/>
    <w:autoRedefine/>
    <w:rsid w:val="001938F1"/>
    <w:rPr>
      <w:rFonts w:ascii="Calibri" w:hAnsi="Calibri"/>
      <w:sz w:val="22"/>
      <w:szCs w:val="22"/>
    </w:rPr>
  </w:style>
  <w:style w:type="paragraph" w:customStyle="1" w:styleId="TM51">
    <w:name w:val="TM 51"/>
    <w:basedOn w:val="Normal"/>
    <w:next w:val="Normal"/>
    <w:autoRedefine/>
    <w:rsid w:val="001938F1"/>
    <w:rPr>
      <w:rFonts w:ascii="Calibri" w:hAnsi="Calibri"/>
      <w:sz w:val="22"/>
      <w:szCs w:val="22"/>
    </w:rPr>
  </w:style>
  <w:style w:type="paragraph" w:customStyle="1" w:styleId="TM61">
    <w:name w:val="TM 61"/>
    <w:basedOn w:val="Normal"/>
    <w:next w:val="Normal"/>
    <w:autoRedefine/>
    <w:rsid w:val="001938F1"/>
    <w:rPr>
      <w:rFonts w:ascii="Calibri" w:hAnsi="Calibri"/>
      <w:sz w:val="22"/>
      <w:szCs w:val="22"/>
    </w:rPr>
  </w:style>
  <w:style w:type="paragraph" w:customStyle="1" w:styleId="TM71">
    <w:name w:val="TM 71"/>
    <w:basedOn w:val="Normal"/>
    <w:next w:val="Normal"/>
    <w:autoRedefine/>
    <w:rsid w:val="001938F1"/>
    <w:rPr>
      <w:rFonts w:ascii="Calibri" w:hAnsi="Calibri"/>
      <w:sz w:val="22"/>
      <w:szCs w:val="22"/>
    </w:rPr>
  </w:style>
  <w:style w:type="paragraph" w:customStyle="1" w:styleId="TM81">
    <w:name w:val="TM 81"/>
    <w:basedOn w:val="Normal"/>
    <w:next w:val="Normal"/>
    <w:autoRedefine/>
    <w:rsid w:val="001938F1"/>
    <w:rPr>
      <w:rFonts w:ascii="Calibri" w:hAnsi="Calibri"/>
      <w:sz w:val="22"/>
      <w:szCs w:val="22"/>
    </w:rPr>
  </w:style>
  <w:style w:type="paragraph" w:customStyle="1" w:styleId="TM91">
    <w:name w:val="TM 91"/>
    <w:basedOn w:val="Normal"/>
    <w:next w:val="Normal"/>
    <w:autoRedefine/>
    <w:rsid w:val="001938F1"/>
    <w:rPr>
      <w:rFonts w:ascii="Calibri" w:hAnsi="Calibri"/>
      <w:sz w:val="22"/>
      <w:szCs w:val="22"/>
    </w:rPr>
  </w:style>
  <w:style w:type="paragraph" w:customStyle="1" w:styleId="Listecouleur-Accent11">
    <w:name w:val="Liste couleur - Accent 11"/>
    <w:basedOn w:val="Normal"/>
    <w:uiPriority w:val="34"/>
    <w:qFormat/>
    <w:rsid w:val="000F41F1"/>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A26AD3"/>
    <w:rPr>
      <w:rFonts w:ascii="Arial" w:hAnsi="Arial" w:cs="Arial"/>
      <w:color w:val="000000"/>
      <w:sz w:val="24"/>
      <w:szCs w:val="24"/>
    </w:rPr>
  </w:style>
  <w:style w:type="paragraph" w:customStyle="1" w:styleId="Normal1">
    <w:name w:val="Normal1"/>
    <w:basedOn w:val="Normal"/>
    <w:qFormat/>
    <w:rsid w:val="00F35E5D"/>
    <w:pPr>
      <w:keepLines/>
      <w:tabs>
        <w:tab w:val="left" w:pos="284"/>
        <w:tab w:val="left" w:pos="567"/>
        <w:tab w:val="left" w:pos="851"/>
      </w:tabs>
      <w:ind w:firstLine="284"/>
      <w:jc w:val="both"/>
    </w:pPr>
    <w:rPr>
      <w:sz w:val="24"/>
    </w:rPr>
  </w:style>
  <w:style w:type="paragraph" w:customStyle="1" w:styleId="PiedDePage">
    <w:name w:val="PiedDePage"/>
    <w:basedOn w:val="Normal"/>
    <w:next w:val="Normal"/>
    <w:qFormat/>
    <w:rsid w:val="00B26EC1"/>
    <w:rPr>
      <w:rFonts w:ascii="Trebuchet MS" w:eastAsia="Trebuchet MS" w:hAnsi="Trebuchet MS" w:cs="Trebuchet MS"/>
      <w:sz w:val="18"/>
      <w:szCs w:val="24"/>
      <w:lang w:val="en-US" w:eastAsia="en-US"/>
    </w:rPr>
  </w:style>
  <w:style w:type="paragraph" w:customStyle="1" w:styleId="ParagrapheIndent2">
    <w:name w:val="ParagrapheIndent2"/>
    <w:basedOn w:val="Normal"/>
    <w:next w:val="Normal"/>
    <w:qFormat/>
    <w:rsid w:val="006430E6"/>
    <w:rPr>
      <w:rFonts w:ascii="Trebuchet MS" w:eastAsia="Trebuchet MS" w:hAnsi="Trebuchet MS" w:cs="Trebuchet MS"/>
      <w:szCs w:val="24"/>
      <w:lang w:val="en-US" w:eastAsia="en-US"/>
    </w:rPr>
  </w:style>
  <w:style w:type="paragraph" w:customStyle="1" w:styleId="Normal2">
    <w:name w:val="Normal2"/>
    <w:basedOn w:val="Normal"/>
    <w:qFormat/>
    <w:rsid w:val="0058230D"/>
    <w:pPr>
      <w:keepLines/>
      <w:tabs>
        <w:tab w:val="left" w:pos="567"/>
        <w:tab w:val="left" w:pos="851"/>
        <w:tab w:val="left" w:pos="1134"/>
      </w:tabs>
      <w:ind w:left="284" w:firstLine="284"/>
      <w:jc w:val="both"/>
    </w:pPr>
    <w:rPr>
      <w:sz w:val="24"/>
    </w:rPr>
  </w:style>
  <w:style w:type="paragraph" w:customStyle="1" w:styleId="Contenudecadre">
    <w:name w:val="Contenu de cadre"/>
    <w:basedOn w:val="Normal"/>
    <w:qFormat/>
  </w:style>
  <w:style w:type="table" w:styleId="Grilledutableau">
    <w:name w:val="Table Grid"/>
    <w:basedOn w:val="TableauNormal"/>
    <w:uiPriority w:val="59"/>
    <w:rsid w:val="00D4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1">
    <w:name w:val="Table Columns 1"/>
    <w:basedOn w:val="TableauNormal"/>
    <w:rsid w:val="00D41CD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itationintense1">
    <w:name w:val="Citation intense1"/>
    <w:basedOn w:val="TableauNormal"/>
    <w:uiPriority w:val="60"/>
    <w:qFormat/>
    <w:rsid w:val="00D41CD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lledutableau1">
    <w:name w:val="Grille du tableau1"/>
    <w:basedOn w:val="TableauNormal"/>
    <w:uiPriority w:val="59"/>
    <w:rsid w:val="00FF19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rsid w:val="00FF19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1"/>
    <w:uiPriority w:val="99"/>
    <w:unhideWhenUsed/>
    <w:rsid w:val="001F5C94"/>
    <w:pPr>
      <w:tabs>
        <w:tab w:val="center" w:pos="4536"/>
        <w:tab w:val="right" w:pos="9072"/>
      </w:tabs>
    </w:pPr>
  </w:style>
  <w:style w:type="character" w:customStyle="1" w:styleId="En-tteCar1">
    <w:name w:val="En-tête Car1"/>
    <w:basedOn w:val="Policepardfaut"/>
    <w:link w:val="En-tte"/>
    <w:uiPriority w:val="99"/>
    <w:rsid w:val="001F5C94"/>
  </w:style>
  <w:style w:type="paragraph" w:styleId="Pieddepage0">
    <w:name w:val="footer"/>
    <w:basedOn w:val="Normal"/>
    <w:link w:val="PieddepageCar1"/>
    <w:uiPriority w:val="99"/>
    <w:unhideWhenUsed/>
    <w:rsid w:val="001F5C94"/>
    <w:pPr>
      <w:tabs>
        <w:tab w:val="center" w:pos="4536"/>
        <w:tab w:val="right" w:pos="9072"/>
      </w:tabs>
    </w:pPr>
  </w:style>
  <w:style w:type="character" w:customStyle="1" w:styleId="PieddepageCar1">
    <w:name w:val="Pied de page Car1"/>
    <w:basedOn w:val="Policepardfaut"/>
    <w:link w:val="Pieddepage0"/>
    <w:uiPriority w:val="99"/>
    <w:rsid w:val="001F5C94"/>
  </w:style>
  <w:style w:type="character" w:styleId="Lienhypertexte">
    <w:name w:val="Hyperlink"/>
    <w:basedOn w:val="Policepardfaut"/>
    <w:uiPriority w:val="99"/>
    <w:rsid w:val="00932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effe.ta-lille@juradm.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angheluwe@wanadoo.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3CFA-1EAE-A441-8310-4FCA35D2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3239</Words>
  <Characters>17819</Characters>
  <Application>Microsoft Office Word</Application>
  <DocSecurity>0</DocSecurity>
  <Lines>148</Lines>
  <Paragraphs>42</Paragraphs>
  <ScaleCrop>false</ScaleCrop>
  <Company>Mairie de Croix</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VIllette Laurence</dc:creator>
  <dc:description/>
  <cp:lastModifiedBy>Nathalie Chimot</cp:lastModifiedBy>
  <cp:revision>5</cp:revision>
  <cp:lastPrinted>2018-10-30T09:07:00Z</cp:lastPrinted>
  <dcterms:created xsi:type="dcterms:W3CDTF">2025-01-16T15:25:00Z</dcterms:created>
  <dcterms:modified xsi:type="dcterms:W3CDTF">2025-01-20T14:01:00Z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Mairie de Croix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