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2766" w:rsidRPr="00F82766" w:rsidRDefault="00FF6239" w:rsidP="00F82766">
      <w:pPr>
        <w:shd w:val="clear" w:color="auto" w:fill="80919F"/>
        <w:spacing w:after="0" w:line="210" w:lineRule="atLeast"/>
        <w:jc w:val="center"/>
        <w:rPr>
          <w:rFonts w:ascii="Century Gothic" w:eastAsia="Times New Roman" w:hAnsi="Century Gothic" w:cs="Times New Roman"/>
          <w:b/>
          <w:bCs/>
          <w:caps/>
          <w:color w:val="FFFFFF"/>
          <w:sz w:val="20"/>
          <w:szCs w:val="20"/>
          <w:lang w:eastAsia="fr-FR"/>
        </w:rPr>
      </w:pPr>
      <w:r>
        <w:rPr>
          <w:rFonts w:ascii="Verdana" w:eastAsia="Times New Roman" w:hAnsi="Verdana" w:cs="Times New Roman"/>
          <w:b/>
          <w:bCs/>
          <w:caps/>
          <w:color w:val="FFFFFF"/>
          <w:sz w:val="15"/>
          <w:szCs w:val="15"/>
          <w:lang w:eastAsia="fr-FR"/>
        </w:rPr>
        <w:t>A</w:t>
      </w:r>
      <w:r w:rsidR="00F82766" w:rsidRPr="00F82766">
        <w:rPr>
          <w:rFonts w:ascii="Verdana" w:eastAsia="Times New Roman" w:hAnsi="Verdana" w:cs="Times New Roman"/>
          <w:b/>
          <w:bCs/>
          <w:caps/>
          <w:color w:val="FFFFFF"/>
          <w:sz w:val="15"/>
          <w:szCs w:val="15"/>
          <w:lang w:eastAsia="fr-FR"/>
        </w:rPr>
        <w:t>nnonce transmise</w:t>
      </w:r>
      <w:r w:rsidR="00F82766" w:rsidRPr="00F82766">
        <w:rPr>
          <w:rFonts w:ascii="Verdana" w:eastAsia="Times New Roman" w:hAnsi="Verdana" w:cs="Times New Roman"/>
          <w:b/>
          <w:bCs/>
          <w:caps/>
          <w:color w:val="FFFFFF"/>
          <w:sz w:val="15"/>
          <w:szCs w:val="15"/>
          <w:lang w:eastAsia="fr-FR"/>
        </w:rPr>
        <w:br/>
      </w:r>
      <w:r w:rsidR="00F82766" w:rsidRPr="00F82766">
        <w:rPr>
          <w:rFonts w:ascii="Century Gothic" w:eastAsia="Times New Roman" w:hAnsi="Century Gothic" w:cs="Times New Roman"/>
          <w:b/>
          <w:bCs/>
          <w:color w:val="FFFFFF"/>
          <w:sz w:val="20"/>
          <w:szCs w:val="20"/>
          <w:lang w:eastAsia="fr-FR"/>
        </w:rPr>
        <w:t>Avis d'Appel Public à la Concurrence - Procédure Formalisée</w:t>
      </w:r>
      <w:r w:rsidR="00F82766" w:rsidRPr="00F82766">
        <w:rPr>
          <w:rFonts w:ascii="Century Gothic" w:eastAsia="Times New Roman" w:hAnsi="Century Gothic" w:cs="Times New Roman"/>
          <w:b/>
          <w:bCs/>
          <w:color w:val="FFFFFF"/>
          <w:sz w:val="20"/>
          <w:szCs w:val="20"/>
          <w:lang w:eastAsia="fr-FR"/>
        </w:rPr>
        <w:br/>
      </w:r>
      <w:r w:rsidR="005C5DA5">
        <w:rPr>
          <w:rFonts w:ascii="Century Gothic" w:eastAsia="Times New Roman" w:hAnsi="Century Gothic" w:cs="Times New Roman"/>
          <w:b/>
          <w:bCs/>
          <w:color w:val="FFFFFF"/>
          <w:sz w:val="20"/>
          <w:szCs w:val="20"/>
          <w:lang w:eastAsia="fr-FR"/>
        </w:rPr>
        <w:t>Avis complet publié au BOAMP n° 4180608</w:t>
      </w:r>
    </w:p>
    <w:p w:rsidR="00F82766" w:rsidRPr="00F82766" w:rsidRDefault="00F82766" w:rsidP="00F82766">
      <w:pPr>
        <w:pBdr>
          <w:bottom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Arial"/>
          <w:vanish/>
          <w:sz w:val="20"/>
          <w:szCs w:val="20"/>
          <w:lang w:eastAsia="fr-FR"/>
        </w:rPr>
        <w:t>Haut du formulaire</w:t>
      </w:r>
    </w:p>
    <w:p w:rsidR="00F82766" w:rsidRPr="00F82766" w:rsidRDefault="00F82766" w:rsidP="00F82766">
      <w:pPr>
        <w:pBdr>
          <w:top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Arial"/>
          <w:vanish/>
          <w:sz w:val="20"/>
          <w:szCs w:val="20"/>
          <w:lang w:eastAsia="fr-FR"/>
        </w:rPr>
        <w:t>Bas du formulaire</w:t>
      </w:r>
    </w:p>
    <w:p w:rsidR="00F82766" w:rsidRPr="00F82766" w:rsidRDefault="00F82766" w:rsidP="00F82766">
      <w:pPr>
        <w:pBdr>
          <w:bottom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Arial"/>
          <w:vanish/>
          <w:sz w:val="20"/>
          <w:szCs w:val="20"/>
          <w:lang w:eastAsia="fr-FR"/>
        </w:rPr>
        <w:t>Haut du formulaire</w:t>
      </w:r>
    </w:p>
    <w:p w:rsidR="00F82766" w:rsidRPr="00F82766" w:rsidRDefault="00F82766" w:rsidP="00F82766">
      <w:pPr>
        <w:pBdr>
          <w:top w:val="single" w:sz="6" w:space="1" w:color="auto"/>
        </w:pBdr>
        <w:spacing w:after="0" w:line="240" w:lineRule="auto"/>
        <w:jc w:val="center"/>
        <w:rPr>
          <w:rFonts w:ascii="Century Gothic" w:eastAsia="Times New Roman" w:hAnsi="Century Gothic" w:cs="Arial"/>
          <w:vanish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Arial"/>
          <w:vanish/>
          <w:sz w:val="20"/>
          <w:szCs w:val="20"/>
          <w:lang w:eastAsia="fr-FR"/>
        </w:rPr>
        <w:t>Bas du formulaire</w:t>
      </w:r>
    </w:p>
    <w:p w:rsidR="00F82766" w:rsidRPr="00F82766" w:rsidRDefault="00F82766" w:rsidP="00F82766">
      <w:pPr>
        <w:shd w:val="clear" w:color="auto" w:fill="EAEAEA"/>
        <w:spacing w:beforeAutospacing="1" w:after="0" w:afterAutospacing="1" w:line="240" w:lineRule="auto"/>
        <w:outlineLvl w:val="0"/>
        <w:rPr>
          <w:rFonts w:ascii="Century Gothic" w:eastAsia="Times New Roman" w:hAnsi="Century Gothic" w:cs="Times New Roman"/>
          <w:b/>
          <w:bCs/>
          <w:caps/>
          <w:color w:val="000000"/>
          <w:kern w:val="36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aps/>
          <w:color w:val="000000"/>
          <w:kern w:val="36"/>
          <w:sz w:val="20"/>
          <w:szCs w:val="20"/>
          <w:lang w:eastAsia="fr-FR"/>
        </w:rPr>
        <w:t>TRANSPORT POUR LES ACTIVITES SCOLAIRES ET EXTRA SCOLAIRES DES ELEVES ET DES ENFANTS INSCRITS AUX ALSH ET AU PROGRAMME DE REUSSITE EDUCATIVE DE LA VILLE DE LE MOULE</w:t>
      </w:r>
    </w:p>
    <w:p w:rsidR="00F82766" w:rsidRDefault="00F82766" w:rsidP="005C5DA5">
      <w:pPr>
        <w:shd w:val="clear" w:color="auto" w:fill="EAEAEA"/>
        <w:spacing w:after="0" w:line="240" w:lineRule="auto"/>
        <w:jc w:val="center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Avis de marché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</w:p>
    <w:p w:rsidR="00F82766" w:rsidRPr="00F82766" w:rsidRDefault="00F82766" w:rsidP="00F82766">
      <w:pPr>
        <w:shd w:val="clear" w:color="auto" w:fill="EAEAEA"/>
        <w:spacing w:after="0" w:line="240" w:lineRule="auto"/>
        <w:outlineLvl w:val="1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1. Acheteur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1.1 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Acheteur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Nom officiel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Forme juridique de l'acheteur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Autorité locale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Activité du pouvoir adjudicateur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Services d'administration générale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1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2. Procédure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2.1 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Procédure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Titre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TRANSPORT POUR LES ACTIVITES SCOLAIRES ET EXTRA SCOLAIRES DES ELEVES ET DES ENFANTS INSCRITS AUX ALSH ET AU PROGRAMME DE REUSSITE EDUCATIVE DE LA VILLE DE LE MOULE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Type de procédure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Ouverte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2.1.1 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Objet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Nature du marché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Services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Nomenclature principale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 (</w:t>
      </w:r>
      <w:proofErr w:type="spellStart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cpv</w:t>
      </w:r>
      <w:proofErr w:type="spellEnd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)</w:t>
      </w:r>
      <w:r w:rsidR="009D7564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60170000 Location de véhicules de transport de personnes avec chauffeur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2.1.2 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Lieu d'exécution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Ville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Le Moule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Code postal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97160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Subdivision pays (NUTS</w:t>
      </w:r>
      <w:proofErr w:type="gramStart"/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)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  <w:proofErr w:type="gramEnd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 Guadeloupe (FRY10)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Pays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France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2.1.4 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Informations générales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Base juridique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Directive 2014/24/UE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2.1.5 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Conditions du marché public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Conditions de présentation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Nombre maximal de lots pour lesquels un soumissionnaire peut présenter une offre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2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Conditions du marché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Nombre maximal de lots pouvant être attribués à un soumissionnaire dans le cadre de marchés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2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2.1.6 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Motifs d'exclusion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Accords avec d'autres opérateurs économiques en vue de fausser la concurrence</w:t>
      </w:r>
      <w:r w:rsidR="009D7564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1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5. Lot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Identifiant technique du lot</w:t>
      </w:r>
      <w:r w:rsidR="009D7564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: LOT-0001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Titre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Lot 1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Description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Transport des élèves pour les activités sportives pendant et hors temps scolaire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Objet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Nature du marché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Services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Nomenclature principale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 (</w:t>
      </w:r>
      <w:proofErr w:type="spellStart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cpv</w:t>
      </w:r>
      <w:proofErr w:type="spellEnd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)</w:t>
      </w:r>
      <w:r w:rsidR="009D7564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60170000 Location de véhicules de transport de personnes avec chauffeur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5.1.2 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Lieu d'exécution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Ville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Le Moule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Code postal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97160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Subdivision pays (NUTS)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Guadeloupe (FRY10)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Pays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France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5.1.3 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Durée estimée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Durée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48 </w:t>
      </w: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Mois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5.1.6 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Informations générales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lastRenderedPageBreak/>
        <w:t>Participation réservée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La participation n'est pas réservée.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Projet de passation de marché non financé par des fonds de l'UE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Le marché relève de l'accord sur les marchés publics (AMP)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oui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5.1.9 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Critères de sélection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Critère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Type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Aptitude à exercer l'activité professionnelle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5.1.11 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Documents de marché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Adresse des documents de marché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hyperlink r:id="rId7" w:history="1">
        <w:r w:rsidRPr="00F82766">
          <w:rPr>
            <w:rFonts w:ascii="Century Gothic" w:eastAsia="Times New Roman" w:hAnsi="Century Gothic" w:cs="Times New Roman"/>
            <w:color w:val="000000"/>
            <w:sz w:val="20"/>
            <w:szCs w:val="20"/>
            <w:u w:val="single"/>
            <w:lang w:eastAsia="fr-FR"/>
          </w:rPr>
          <w:t>https://www.marches-securises.fr</w:t>
        </w:r>
      </w:hyperlink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5.1.12 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Conditions du marché public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Conditions de présentation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Présentation par voie électronique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Requise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Adresse de présentation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hyperlink r:id="rId8" w:history="1">
        <w:r w:rsidRPr="00F82766">
          <w:rPr>
            <w:rFonts w:ascii="Century Gothic" w:eastAsia="Times New Roman" w:hAnsi="Century Gothic" w:cs="Times New Roman"/>
            <w:color w:val="000000"/>
            <w:sz w:val="20"/>
            <w:szCs w:val="20"/>
            <w:u w:val="single"/>
            <w:lang w:eastAsia="fr-FR"/>
          </w:rPr>
          <w:t>https://www.marches-securises.fr</w:t>
        </w:r>
      </w:hyperlink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Langues dans lesquelles les offres ou demandes de participation peuvent être présentées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français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Catalogue électronique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Non autorisée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Date limite de réception des offres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01/04/2025 </w:t>
      </w:r>
      <w:proofErr w:type="gramStart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12:</w:t>
      </w:r>
      <w:proofErr w:type="gramEnd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00 +02:00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Date limite de validité de l'offre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180 </w:t>
      </w: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Jour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Conditions du marché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Le marché doit être exécuté dans le cadre de programmes d'emplois protégés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Non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Facturation en ligne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Requise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La commande en ligne sera utilisée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Le paiement en ligne sera utilisé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non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5.1.15 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Techniques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Accord-cadre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Accord-cadre, avec remise en concurrence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Informations sur le système d'acquisition dynamique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Pas de système d'acquisition dynamique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5.1.16 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Informations complémentaires, médiation et réexamen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chargée des procédures de médiation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chargée des procédures de recours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fournit des informations complémentaires sur la procédure de passation de marché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fournit un accès hors ligne aux documents de marché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fournit des précisions concernant l'introduction des recours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reçoit les demandes de participation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traite les offres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Identifiant technique du lot</w:t>
      </w:r>
      <w:r w:rsidR="009D7564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: LOT-0002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Titre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Lot 2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Description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Transport des élèves pour les sorties pédagogiques, les déplacements des enfants des ALSH et du PRE et toutes autres sorties organisées pour les élèves.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Objet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Nature du marché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Services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Nomenclature principale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 (</w:t>
      </w:r>
      <w:proofErr w:type="spellStart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cpv</w:t>
      </w:r>
      <w:proofErr w:type="spellEnd"/>
      <w:proofErr w:type="gramStart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):</w:t>
      </w:r>
      <w:proofErr w:type="gramEnd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 60170000 Location de véhicules de transport de personnes avec chauffeur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5.1.2 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Lieu d'exécution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Ville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Le Moule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Code postal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97160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Subdivision pays (NUTS)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Guadeloupe (FRY10)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Pays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France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Informations complémentaires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5.1.3 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Durée estimée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Durée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48 </w:t>
      </w: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Mois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5.1.6 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Informations générales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Participation réservée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La participation n'est pas réservée.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Projet de passation de marché non financé par des fonds de l'UE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Le marché relève de l'accord sur les marchés publics (AMP)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oui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lastRenderedPageBreak/>
        <w:t>5.1.9 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Critères de sélection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Critère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Type</w:t>
      </w:r>
      <w:r w:rsidR="005C5DA5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Aptitude à exercer l'activité professionnelle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5.1.11 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Documents de marché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Adresse des documents de marché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hyperlink r:id="rId9" w:history="1">
        <w:r w:rsidRPr="00F82766">
          <w:rPr>
            <w:rFonts w:ascii="Century Gothic" w:eastAsia="Times New Roman" w:hAnsi="Century Gothic" w:cs="Times New Roman"/>
            <w:color w:val="000000"/>
            <w:sz w:val="20"/>
            <w:szCs w:val="20"/>
            <w:u w:val="single"/>
            <w:lang w:eastAsia="fr-FR"/>
          </w:rPr>
          <w:t>https://www.marches-securises.fr</w:t>
        </w:r>
      </w:hyperlink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5.1.12 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Conditions du marché public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Conditions de présentation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Présentation par voie électronique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Requise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Adresse de présentation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hyperlink r:id="rId10" w:history="1">
        <w:r w:rsidRPr="00F82766">
          <w:rPr>
            <w:rFonts w:ascii="Century Gothic" w:eastAsia="Times New Roman" w:hAnsi="Century Gothic" w:cs="Times New Roman"/>
            <w:color w:val="000000"/>
            <w:sz w:val="20"/>
            <w:szCs w:val="20"/>
            <w:u w:val="single"/>
            <w:lang w:eastAsia="fr-FR"/>
          </w:rPr>
          <w:t>https://www.marches-securises.fr</w:t>
        </w:r>
      </w:hyperlink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Langues dans lesquelles les offres ou demandes de participation peuvent être présentées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français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Catalogue électronique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Non autorisée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Date limite de réception des offres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01/04/2025 </w:t>
      </w:r>
      <w:proofErr w:type="gramStart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12:</w:t>
      </w:r>
      <w:proofErr w:type="gramEnd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00 +02:00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Date limite de validité de l'offre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180 </w:t>
      </w: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Jour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Conditions du marché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Le marché doit être exécuté dans le cadre de programmes d'emplois protégés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Non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Facturation en ligne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Requise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La commande en ligne sera utilisée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Le paiement en ligne sera utilisé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non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5.1.15 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Techniques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Accord-cadre</w:t>
      </w:r>
      <w:r w:rsidR="005C5DA5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Accord-cadre, avec remise en concurrence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Informations sur le système d'acquisition dynamique</w:t>
      </w:r>
      <w:r w:rsidR="005C5DA5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  <w:r w:rsidR="005C5DA5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Pas de système d'acquisition dynamique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5.1.16 </w:t>
      </w:r>
      <w:r w:rsidRPr="00F82766">
        <w:rPr>
          <w:rFonts w:ascii="Century Gothic" w:eastAsia="Times New Roman" w:hAnsi="Century Gothic" w:cs="Times New Roman"/>
          <w:b/>
          <w:bCs/>
          <w:i/>
          <w:iCs/>
          <w:color w:val="000000"/>
          <w:sz w:val="20"/>
          <w:szCs w:val="20"/>
          <w:lang w:eastAsia="fr-FR"/>
        </w:rPr>
        <w:t>Informations complémentaires, médiation et réexamen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chargée des procédures de médiation</w:t>
      </w:r>
      <w:r w:rsidR="005C5DA5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chargée des procédures de recours</w:t>
      </w:r>
      <w:r w:rsidR="005C5DA5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fournit des informations complémentaires sur la procédure de passation de marché</w:t>
      </w:r>
      <w:r w:rsidR="005C5DA5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fournit un accès hors ligne aux documents de marché</w:t>
      </w:r>
      <w:r w:rsidR="005C5DA5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fournit des précisions concernant l'introduction des recours</w:t>
      </w:r>
      <w:r w:rsidR="005C5DA5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reçoit les demandes de participation</w:t>
      </w:r>
      <w:r w:rsidR="005C5DA5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traite les offres</w:t>
      </w:r>
      <w:r w:rsidR="005C5DA5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 -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1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8. Organisations</w:t>
      </w:r>
    </w:p>
    <w:p w:rsidR="00F82766" w:rsidRPr="00F82766" w:rsidRDefault="00F82766" w:rsidP="00F82766">
      <w:pPr>
        <w:shd w:val="clear" w:color="auto" w:fill="EAEAEA"/>
        <w:spacing w:after="0" w:line="240" w:lineRule="auto"/>
        <w:outlineLvl w:val="2"/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b/>
          <w:bCs/>
          <w:color w:val="000000"/>
          <w:sz w:val="20"/>
          <w:szCs w:val="20"/>
          <w:lang w:eastAsia="fr-FR"/>
        </w:rPr>
        <w:t>8.1 ORG-0001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Nom officiel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Ville de Le Moule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Numéro d'enregistrement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21971117300019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Adresse postale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 Direction des Achats et des Concessions Annexe 3 Angle des rues Joffre et Saint-Jean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Ville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Le Moule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Code postal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97160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Subdivision pays (NUTS</w:t>
      </w:r>
      <w:proofErr w:type="gramStart"/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)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  <w:proofErr w:type="gramEnd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 Guadeloupe (FRY10)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Pays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France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Adresse électronique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</w:t>
      </w:r>
      <w:hyperlink r:id="rId11" w:history="1">
        <w:r w:rsidRPr="00F82766">
          <w:rPr>
            <w:rFonts w:ascii="Century Gothic" w:eastAsia="Times New Roman" w:hAnsi="Century Gothic" w:cs="Times New Roman"/>
            <w:color w:val="000000"/>
            <w:sz w:val="20"/>
            <w:szCs w:val="20"/>
            <w:u w:val="single"/>
            <w:lang w:eastAsia="fr-FR"/>
          </w:rPr>
          <w:t>Marie-christine.simion@mairie-lemoule.fr</w:t>
        </w:r>
      </w:hyperlink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Téléphone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0590230900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Rôles de cette organisation</w:t>
      </w:r>
      <w:r w:rsidR="009D7564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Acheteur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fournit des informations complémentaires sur la procédure de passation de marché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fournit un accès hors ligne aux documents de marché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reçoit les demandes de participation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traite les offres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chargée des procédures de recours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qui fournit des précisions concernant l'introduction des recours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i/>
          <w:iCs/>
          <w:color w:val="000000"/>
          <w:sz w:val="20"/>
          <w:szCs w:val="20"/>
          <w:lang w:eastAsia="fr-FR"/>
        </w:rPr>
        <w:t>Organisation chargée des procédures de médiation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Informations relatives à l'avis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lastRenderedPageBreak/>
        <w:t>Type de formulaire</w:t>
      </w:r>
      <w:r w:rsidR="009D7564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Mise en concurrence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Type d'avis</w:t>
      </w:r>
      <w:r w:rsidR="009D7564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Avis de marché ou de concession régime ordinaire</w:t>
      </w:r>
    </w:p>
    <w:p w:rsidR="00F82766" w:rsidRP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Date d'envoi de l'avis</w:t>
      </w:r>
      <w:r w:rsidR="009D7564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28/02/2025 </w:t>
      </w:r>
      <w:proofErr w:type="gramStart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15:</w:t>
      </w:r>
      <w:proofErr w:type="gramEnd"/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56 +02:00</w:t>
      </w:r>
    </w:p>
    <w:p w:rsidR="00F82766" w:rsidRDefault="00F82766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Langues dans lesquelles l'avis en question est officiellement disponible</w:t>
      </w:r>
      <w:r w:rsidR="009D7564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 xml:space="preserve"> </w:t>
      </w:r>
      <w:r w:rsidRPr="00F82766"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: français</w:t>
      </w:r>
    </w:p>
    <w:p w:rsidR="00263313" w:rsidRDefault="00263313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</w:p>
    <w:p w:rsidR="00263313" w:rsidRDefault="00263313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Le Moule, le 28 février 2025</w:t>
      </w:r>
    </w:p>
    <w:p w:rsidR="00263313" w:rsidRDefault="00263313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</w:p>
    <w:p w:rsidR="00263313" w:rsidRDefault="00263313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Le Maire,</w:t>
      </w:r>
    </w:p>
    <w:p w:rsidR="00263313" w:rsidRPr="00F82766" w:rsidRDefault="00263313" w:rsidP="00F82766">
      <w:pPr>
        <w:shd w:val="clear" w:color="auto" w:fill="EAEAEA"/>
        <w:spacing w:after="0" w:line="240" w:lineRule="auto"/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</w:pPr>
      <w:r>
        <w:rPr>
          <w:rFonts w:ascii="Century Gothic" w:eastAsia="Times New Roman" w:hAnsi="Century Gothic" w:cs="Times New Roman"/>
          <w:color w:val="000000"/>
          <w:sz w:val="20"/>
          <w:szCs w:val="20"/>
          <w:lang w:eastAsia="fr-FR"/>
        </w:rPr>
        <w:t>Gabrielle CARABIN</w:t>
      </w:r>
      <w:bookmarkStart w:id="0" w:name="_GoBack"/>
      <w:bookmarkEnd w:id="0"/>
    </w:p>
    <w:sectPr w:rsidR="00263313" w:rsidRPr="00F82766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5DA5" w:rsidRDefault="005C5DA5" w:rsidP="005C5DA5">
      <w:pPr>
        <w:spacing w:after="0" w:line="240" w:lineRule="auto"/>
      </w:pPr>
      <w:r>
        <w:separator/>
      </w:r>
    </w:p>
  </w:endnote>
  <w:endnote w:type="continuationSeparator" w:id="0">
    <w:p w:rsidR="005C5DA5" w:rsidRDefault="005C5DA5" w:rsidP="005C5DA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675340390"/>
      <w:docPartObj>
        <w:docPartGallery w:val="Page Numbers (Bottom of Page)"/>
        <w:docPartUnique/>
      </w:docPartObj>
    </w:sdtPr>
    <w:sdtEndPr/>
    <w:sdtContent>
      <w:p w:rsidR="005C5DA5" w:rsidRDefault="005C5DA5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63313">
          <w:rPr>
            <w:noProof/>
          </w:rPr>
          <w:t>4</w:t>
        </w:r>
        <w:r>
          <w:fldChar w:fldCharType="end"/>
        </w:r>
      </w:p>
    </w:sdtContent>
  </w:sdt>
  <w:p w:rsidR="005C5DA5" w:rsidRDefault="005C5DA5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5DA5" w:rsidRDefault="005C5DA5" w:rsidP="005C5DA5">
      <w:pPr>
        <w:spacing w:after="0" w:line="240" w:lineRule="auto"/>
      </w:pPr>
      <w:r>
        <w:separator/>
      </w:r>
    </w:p>
  </w:footnote>
  <w:footnote w:type="continuationSeparator" w:id="0">
    <w:p w:rsidR="005C5DA5" w:rsidRDefault="005C5DA5" w:rsidP="005C5DA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9346E8"/>
    <w:multiLevelType w:val="multilevel"/>
    <w:tmpl w:val="DFCC4F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2766"/>
    <w:rsid w:val="00263313"/>
    <w:rsid w:val="005C5DA5"/>
    <w:rsid w:val="008A24F1"/>
    <w:rsid w:val="009D7564"/>
    <w:rsid w:val="00F82766"/>
    <w:rsid w:val="00FF62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F0C0FD"/>
  <w15:chartTrackingRefBased/>
  <w15:docId w15:val="{9D0D0B99-C0BD-498C-ABB8-D3ED5A06DA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5C5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5C5DA5"/>
  </w:style>
  <w:style w:type="paragraph" w:styleId="Pieddepage">
    <w:name w:val="footer"/>
    <w:basedOn w:val="Normal"/>
    <w:link w:val="PieddepageCar"/>
    <w:uiPriority w:val="99"/>
    <w:unhideWhenUsed/>
    <w:rsid w:val="005C5DA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5C5D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12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8750137">
          <w:marLeft w:val="0"/>
          <w:marRight w:val="0"/>
          <w:marTop w:val="150"/>
          <w:marBottom w:val="150"/>
          <w:divBdr>
            <w:top w:val="single" w:sz="6" w:space="5" w:color="80919F"/>
            <w:left w:val="single" w:sz="6" w:space="5" w:color="80919F"/>
            <w:bottom w:val="single" w:sz="6" w:space="5" w:color="80919F"/>
            <w:right w:val="single" w:sz="6" w:space="5" w:color="80919F"/>
          </w:divBdr>
          <w:divsChild>
            <w:div w:id="184288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62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6563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161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021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407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58344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965707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40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65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50114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8935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91184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99301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26020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18770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8625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92366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4683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8857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85478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463502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2128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07149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45374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5785149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6098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2044742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46279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9862790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15095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21542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6919210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23767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5329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04839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67319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17302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95918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49531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1682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6444869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2870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947228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61901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548946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4101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730787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407678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6427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2488740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3675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3732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1695669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93624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766638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10060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606229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384058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7037484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97911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3746427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81094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40030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994507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259828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99991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5542708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2514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412743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0749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02668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79176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33735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12737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3382351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445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38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6447321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84823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897850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241330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342780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204773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86152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673366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377313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38039769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697369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67234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175297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553352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598877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7918212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35279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120393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878528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476723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29995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209428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19489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85477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468883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433570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00811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25209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0277317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2276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575294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06427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4999219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048127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8105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126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017736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378046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1112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424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616239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714523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141233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005745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45872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806850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263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446688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068475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34936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1197182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5461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451608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87040977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1136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6354788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00709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20959351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29463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9046869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7179133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34616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3296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69435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0978616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84794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82133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5165244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00139791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52186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968624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38212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597177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8999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987426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6361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460865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359321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310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7950225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046500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05909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114686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2712661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20264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29062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59548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3978521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1978822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97881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653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82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3281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6622443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2613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82986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31915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06076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055349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6874390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525276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53899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00495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40463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5555794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060453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29262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6467980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63403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2446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00933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775430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98942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842101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73660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354757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57340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4528928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99064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3566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9896144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85249398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701334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63087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777907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73514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6494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942500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0622003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555545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69403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62731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688478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496592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10196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971398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64216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9766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306892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536518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897462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6356777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7649004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882207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759364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32991419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846062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75338246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457462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7267591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297772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5899730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66695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43427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7480511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6171088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77347407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178275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0126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  <w:div w:id="15892726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713755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8392713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9636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50451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720439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83241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003319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115271610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834278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2180785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983911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91204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740963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773470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36669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7729658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89782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054970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25709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962148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872949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1255327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377506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0866042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48365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31564898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320184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4469716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3375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044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456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114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55283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90445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97035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981343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257173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761634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67850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782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1785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875461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551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220312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218357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6036815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80141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199244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59551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  <w:div w:id="5648738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273303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07343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1619728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5078394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4729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93096772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4471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69574116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912030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2813015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234928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534481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710937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0084084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00366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240366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640760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25226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11207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30329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7677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6281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5268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339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242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013054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6041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3340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4639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14688767">
          <w:marLeft w:val="0"/>
          <w:marRight w:val="0"/>
          <w:marTop w:val="150"/>
          <w:marBottom w:val="150"/>
          <w:divBdr>
            <w:top w:val="single" w:sz="6" w:space="5" w:color="80919F"/>
            <w:left w:val="single" w:sz="6" w:space="5" w:color="80919F"/>
            <w:bottom w:val="single" w:sz="6" w:space="5" w:color="80919F"/>
            <w:right w:val="single" w:sz="6" w:space="5" w:color="80919F"/>
          </w:divBdr>
        </w:div>
        <w:div w:id="802622711">
          <w:marLeft w:val="0"/>
          <w:marRight w:val="0"/>
          <w:marTop w:val="150"/>
          <w:marBottom w:val="150"/>
          <w:divBdr>
            <w:top w:val="single" w:sz="6" w:space="5" w:color="80919F"/>
            <w:left w:val="single" w:sz="6" w:space="5" w:color="80919F"/>
            <w:bottom w:val="single" w:sz="6" w:space="5" w:color="80919F"/>
            <w:right w:val="single" w:sz="6" w:space="5" w:color="80919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rches-securises.fr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marches-securises.fr/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Marie-christine.simion@mairie-lemoule.fr" TargetMode="External"/><Relationship Id="rId5" Type="http://schemas.openxmlformats.org/officeDocument/2006/relationships/footnotes" Target="footnotes.xml"/><Relationship Id="rId10" Type="http://schemas.openxmlformats.org/officeDocument/2006/relationships/hyperlink" Target="https://www.marches-securises.fr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marches-securises.fr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4</Pages>
  <Words>1172</Words>
  <Characters>6450</Characters>
  <Application>Microsoft Office Word</Application>
  <DocSecurity>0</DocSecurity>
  <Lines>53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Marie-christine  SIMION</dc:creator>
  <cp:keywords/>
  <dc:description/>
  <cp:lastModifiedBy>Marie-christine  SIMION</cp:lastModifiedBy>
  <cp:revision>3</cp:revision>
  <dcterms:created xsi:type="dcterms:W3CDTF">2025-02-28T15:33:00Z</dcterms:created>
  <dcterms:modified xsi:type="dcterms:W3CDTF">2025-02-28T16:36:00Z</dcterms:modified>
</cp:coreProperties>
</file>