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8D2DC" w14:textId="77777777" w:rsidR="00AC59F0" w:rsidRDefault="00AC59F0"/>
    <w:tbl>
      <w:tblPr>
        <w:tblStyle w:val="Grilledutableau"/>
        <w:tblpPr w:leftFromText="141" w:rightFromText="141" w:vertAnchor="page" w:horzAnchor="margin" w:tblpXSpec="center" w:tblpY="3526"/>
        <w:tblW w:w="5000" w:type="pct"/>
        <w:jc w:val="center"/>
        <w:tblLook w:val="04A0" w:firstRow="1" w:lastRow="0" w:firstColumn="1" w:lastColumn="0" w:noHBand="0" w:noVBand="1"/>
      </w:tblPr>
      <w:tblGrid>
        <w:gridCol w:w="2301"/>
        <w:gridCol w:w="3065"/>
        <w:gridCol w:w="2141"/>
        <w:gridCol w:w="2186"/>
        <w:gridCol w:w="2068"/>
        <w:gridCol w:w="2233"/>
      </w:tblGrid>
      <w:tr w:rsidR="000737D2" w14:paraId="1DEE8E79" w14:textId="77777777" w:rsidTr="009B472A">
        <w:trPr>
          <w:jc w:val="center"/>
        </w:trPr>
        <w:tc>
          <w:tcPr>
            <w:tcW w:w="822" w:type="pct"/>
            <w:tcBorders>
              <w:right w:val="nil"/>
            </w:tcBorders>
            <w:shd w:val="clear" w:color="auto" w:fill="A6A6A6" w:themeFill="background1" w:themeFillShade="A6"/>
            <w:vAlign w:val="center"/>
          </w:tcPr>
          <w:p w14:paraId="2B1E0C54" w14:textId="77777777" w:rsidR="00AC59F0" w:rsidRPr="000737D2" w:rsidRDefault="00AC59F0" w:rsidP="00512D27">
            <w:pPr>
              <w:jc w:val="center"/>
              <w:rPr>
                <w:rFonts w:ascii="Arial Black" w:hAnsi="Arial Black"/>
                <w:color w:val="FFFFFF" w:themeColor="background1"/>
              </w:rPr>
            </w:pPr>
            <w:r w:rsidRPr="000737D2">
              <w:rPr>
                <w:rFonts w:ascii="Arial Black" w:hAnsi="Arial Black"/>
                <w:color w:val="FFFFFF" w:themeColor="background1"/>
              </w:rPr>
              <w:t>Libellé</w:t>
            </w:r>
          </w:p>
        </w:tc>
        <w:tc>
          <w:tcPr>
            <w:tcW w:w="1095" w:type="pct"/>
            <w:tcBorders>
              <w:left w:val="nil"/>
              <w:right w:val="nil"/>
            </w:tcBorders>
            <w:shd w:val="clear" w:color="auto" w:fill="A6A6A6" w:themeFill="background1" w:themeFillShade="A6"/>
            <w:vAlign w:val="center"/>
          </w:tcPr>
          <w:p w14:paraId="3ACBB427" w14:textId="77777777" w:rsidR="00AC59F0" w:rsidRPr="000737D2" w:rsidRDefault="00AC59F0" w:rsidP="00512D27">
            <w:pPr>
              <w:jc w:val="center"/>
              <w:rPr>
                <w:rFonts w:ascii="Arial Black" w:hAnsi="Arial Black"/>
                <w:color w:val="FFFFFF" w:themeColor="background1"/>
              </w:rPr>
            </w:pPr>
            <w:r w:rsidRPr="000737D2">
              <w:rPr>
                <w:rFonts w:ascii="Arial Black" w:hAnsi="Arial Black"/>
                <w:color w:val="FFFFFF" w:themeColor="background1"/>
              </w:rPr>
              <w:t>Description</w:t>
            </w:r>
          </w:p>
        </w:tc>
        <w:tc>
          <w:tcPr>
            <w:tcW w:w="765" w:type="pct"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3CB1A81" w14:textId="77777777" w:rsidR="00AC59F0" w:rsidRPr="000737D2" w:rsidRDefault="00AC59F0" w:rsidP="00512D27">
            <w:pPr>
              <w:jc w:val="center"/>
              <w:rPr>
                <w:rFonts w:ascii="Arial Black" w:hAnsi="Arial Black"/>
                <w:color w:val="FFFFFF" w:themeColor="background1"/>
              </w:rPr>
            </w:pPr>
            <w:r w:rsidRPr="000737D2">
              <w:rPr>
                <w:rFonts w:ascii="Arial Black" w:hAnsi="Arial Black"/>
                <w:color w:val="FFFFFF" w:themeColor="background1"/>
              </w:rPr>
              <w:t>Unité de mesure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11C494A4" w14:textId="77777777" w:rsidR="00AC59F0" w:rsidRPr="000737D2" w:rsidRDefault="00AC59F0" w:rsidP="00512D27">
            <w:pPr>
              <w:jc w:val="center"/>
              <w:rPr>
                <w:rFonts w:ascii="Arial Black" w:hAnsi="Arial Black"/>
                <w:color w:val="FFFFFF" w:themeColor="background1"/>
              </w:rPr>
            </w:pPr>
            <w:r w:rsidRPr="000737D2">
              <w:rPr>
                <w:rFonts w:ascii="Arial Black" w:hAnsi="Arial Black"/>
                <w:color w:val="FFFFFF" w:themeColor="background1"/>
              </w:rPr>
              <w:t>Quotité proposée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3D871FE2" w14:textId="77777777" w:rsidR="00AC59F0" w:rsidRPr="000737D2" w:rsidRDefault="00AC59F0" w:rsidP="00512D27">
            <w:pPr>
              <w:jc w:val="center"/>
              <w:rPr>
                <w:rFonts w:ascii="Arial Black" w:hAnsi="Arial Black"/>
                <w:color w:val="FFFFFF" w:themeColor="background1"/>
              </w:rPr>
            </w:pPr>
            <w:r w:rsidRPr="000737D2">
              <w:rPr>
                <w:rFonts w:ascii="Arial Black" w:hAnsi="Arial Black"/>
                <w:color w:val="FFFFFF" w:themeColor="background1"/>
              </w:rPr>
              <w:t>Prix unitaire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DF05CF" w14:textId="77777777" w:rsidR="00AC59F0" w:rsidRPr="000737D2" w:rsidRDefault="00AC59F0" w:rsidP="00512D27">
            <w:pPr>
              <w:jc w:val="center"/>
              <w:rPr>
                <w:rFonts w:ascii="Arial Black" w:hAnsi="Arial Black"/>
                <w:color w:val="FFFFFF" w:themeColor="background1"/>
              </w:rPr>
            </w:pPr>
            <w:r w:rsidRPr="000737D2">
              <w:rPr>
                <w:rFonts w:ascii="Arial Black" w:hAnsi="Arial Black"/>
                <w:color w:val="FFFFFF" w:themeColor="background1"/>
              </w:rPr>
              <w:t>Montant</w:t>
            </w:r>
          </w:p>
        </w:tc>
      </w:tr>
      <w:tr w:rsidR="00990F68" w14:paraId="0F440A45" w14:textId="77777777" w:rsidTr="00990F68">
        <w:trPr>
          <w:jc w:val="center"/>
        </w:trPr>
        <w:tc>
          <w:tcPr>
            <w:tcW w:w="822" w:type="pct"/>
            <w:shd w:val="clear" w:color="auto" w:fill="D9E2F3" w:themeFill="accent1" w:themeFillTint="33"/>
            <w:vAlign w:val="center"/>
          </w:tcPr>
          <w:p w14:paraId="49249911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>Réassort exceptionnel</w:t>
            </w:r>
          </w:p>
        </w:tc>
        <w:tc>
          <w:tcPr>
            <w:tcW w:w="1095" w:type="pct"/>
            <w:shd w:val="clear" w:color="auto" w:fill="D9E2F3" w:themeFill="accent1" w:themeFillTint="33"/>
            <w:vAlign w:val="center"/>
          </w:tcPr>
          <w:p w14:paraId="1C1104FC" w14:textId="142EAA4B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 xml:space="preserve">Approvisionnement ponctuel des DAT à la demande expresse de </w:t>
            </w:r>
            <w:r w:rsidR="00923F37">
              <w:rPr>
                <w:rFonts w:ascii="Arial" w:hAnsi="Arial" w:cs="Arial"/>
              </w:rPr>
              <w:t>la RTM</w:t>
            </w:r>
          </w:p>
        </w:tc>
        <w:tc>
          <w:tcPr>
            <w:tcW w:w="765" w:type="pc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3F8E8EC" w14:textId="77777777" w:rsidR="00AC59F0" w:rsidRPr="00DB2B94" w:rsidRDefault="00AC59F0" w:rsidP="00512D27">
            <w:pPr>
              <w:jc w:val="center"/>
              <w:rPr>
                <w:rFonts w:ascii="Arial" w:hAnsi="Arial" w:cs="Arial"/>
              </w:rPr>
            </w:pPr>
            <w:r w:rsidRPr="00DB2B94">
              <w:rPr>
                <w:rFonts w:ascii="Arial" w:hAnsi="Arial" w:cs="Arial"/>
              </w:rPr>
              <w:t>Par DAT</w:t>
            </w:r>
          </w:p>
        </w:tc>
        <w:tc>
          <w:tcPr>
            <w:tcW w:w="781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EAADB" w:themeFill="accent1" w:themeFillTint="99"/>
            <w:vAlign w:val="center"/>
          </w:tcPr>
          <w:p w14:paraId="0F0C9A7A" w14:textId="77777777" w:rsidR="00AC59F0" w:rsidRDefault="00AC59F0" w:rsidP="00512D27"/>
        </w:tc>
        <w:tc>
          <w:tcPr>
            <w:tcW w:w="73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718EEDA5" w14:textId="77777777" w:rsidR="00AC59F0" w:rsidRDefault="00AC59F0" w:rsidP="00512D27"/>
        </w:tc>
        <w:tc>
          <w:tcPr>
            <w:tcW w:w="7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133FBD0B" w14:textId="77777777" w:rsidR="00AC59F0" w:rsidRDefault="00AC59F0" w:rsidP="00512D27"/>
        </w:tc>
      </w:tr>
      <w:tr w:rsidR="00990F68" w14:paraId="3325F856" w14:textId="77777777" w:rsidTr="00990F68">
        <w:trPr>
          <w:jc w:val="center"/>
        </w:trPr>
        <w:tc>
          <w:tcPr>
            <w:tcW w:w="822" w:type="pct"/>
            <w:shd w:val="clear" w:color="auto" w:fill="D9E2F3" w:themeFill="accent1" w:themeFillTint="33"/>
            <w:vAlign w:val="center"/>
          </w:tcPr>
          <w:p w14:paraId="404AA02E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>Vidage systématique</w:t>
            </w:r>
          </w:p>
        </w:tc>
        <w:tc>
          <w:tcPr>
            <w:tcW w:w="1095" w:type="pct"/>
            <w:shd w:val="clear" w:color="auto" w:fill="D9E2F3" w:themeFill="accent1" w:themeFillTint="33"/>
            <w:vAlign w:val="center"/>
          </w:tcPr>
          <w:p w14:paraId="09EFD783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>Récupération régulière des caisses de monnaie et de billets dans les DAT</w:t>
            </w:r>
          </w:p>
        </w:tc>
        <w:tc>
          <w:tcPr>
            <w:tcW w:w="765" w:type="pc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12B650D" w14:textId="77777777" w:rsidR="00AC59F0" w:rsidRPr="00DB2B94" w:rsidRDefault="00AC59F0" w:rsidP="00512D27">
            <w:pPr>
              <w:jc w:val="center"/>
              <w:rPr>
                <w:rFonts w:ascii="Arial" w:hAnsi="Arial" w:cs="Arial"/>
              </w:rPr>
            </w:pPr>
            <w:r w:rsidRPr="00DB2B94">
              <w:rPr>
                <w:rFonts w:ascii="Arial" w:hAnsi="Arial" w:cs="Arial"/>
              </w:rPr>
              <w:t>1 tournée</w:t>
            </w:r>
          </w:p>
        </w:tc>
        <w:tc>
          <w:tcPr>
            <w:tcW w:w="781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EAADB" w:themeFill="accent1" w:themeFillTint="99"/>
            <w:vAlign w:val="center"/>
          </w:tcPr>
          <w:p w14:paraId="08D080DD" w14:textId="77777777" w:rsidR="00AC59F0" w:rsidRDefault="00AC59F0" w:rsidP="00512D27"/>
        </w:tc>
        <w:tc>
          <w:tcPr>
            <w:tcW w:w="73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41EC494B" w14:textId="77777777" w:rsidR="00AC59F0" w:rsidRDefault="00AC59F0" w:rsidP="00512D27"/>
        </w:tc>
        <w:tc>
          <w:tcPr>
            <w:tcW w:w="7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20C4A621" w14:textId="77777777" w:rsidR="00AC59F0" w:rsidRDefault="00AC59F0" w:rsidP="00512D27"/>
        </w:tc>
      </w:tr>
      <w:tr w:rsidR="00990F68" w14:paraId="1EF61760" w14:textId="77777777" w:rsidTr="00990F68">
        <w:trPr>
          <w:jc w:val="center"/>
        </w:trPr>
        <w:tc>
          <w:tcPr>
            <w:tcW w:w="822" w:type="pct"/>
            <w:shd w:val="clear" w:color="auto" w:fill="D9E2F3" w:themeFill="accent1" w:themeFillTint="33"/>
            <w:vAlign w:val="center"/>
          </w:tcPr>
          <w:p w14:paraId="52B4C57F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>Vidage exceptionnel</w:t>
            </w:r>
          </w:p>
        </w:tc>
        <w:tc>
          <w:tcPr>
            <w:tcW w:w="1095" w:type="pct"/>
            <w:shd w:val="clear" w:color="auto" w:fill="D9E2F3" w:themeFill="accent1" w:themeFillTint="33"/>
            <w:vAlign w:val="center"/>
          </w:tcPr>
          <w:p w14:paraId="7C097332" w14:textId="3F9BB1F4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 xml:space="preserve">Récupération ponctuelle des caisses de monnaie et de billets dans les DAT, à la demande expresse de </w:t>
            </w:r>
            <w:r w:rsidR="00923F37">
              <w:rPr>
                <w:rFonts w:ascii="Arial" w:hAnsi="Arial" w:cs="Arial"/>
              </w:rPr>
              <w:t>la RTM</w:t>
            </w:r>
          </w:p>
        </w:tc>
        <w:tc>
          <w:tcPr>
            <w:tcW w:w="765" w:type="pc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195521B" w14:textId="77777777" w:rsidR="00AC59F0" w:rsidRPr="00DB2B94" w:rsidRDefault="00AC59F0" w:rsidP="00512D27">
            <w:pPr>
              <w:jc w:val="center"/>
              <w:rPr>
                <w:rFonts w:ascii="Arial" w:hAnsi="Arial" w:cs="Arial"/>
              </w:rPr>
            </w:pPr>
            <w:r w:rsidRPr="00DB2B94">
              <w:rPr>
                <w:rFonts w:ascii="Arial" w:hAnsi="Arial" w:cs="Arial"/>
              </w:rPr>
              <w:t>Par DAT</w:t>
            </w:r>
          </w:p>
        </w:tc>
        <w:tc>
          <w:tcPr>
            <w:tcW w:w="781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EAADB" w:themeFill="accent1" w:themeFillTint="99"/>
            <w:vAlign w:val="center"/>
          </w:tcPr>
          <w:p w14:paraId="287BA2E9" w14:textId="77777777" w:rsidR="00AC59F0" w:rsidRDefault="00AC59F0" w:rsidP="00512D27"/>
        </w:tc>
        <w:tc>
          <w:tcPr>
            <w:tcW w:w="73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2A259AF7" w14:textId="77777777" w:rsidR="00AC59F0" w:rsidRDefault="00AC59F0" w:rsidP="00512D27"/>
        </w:tc>
        <w:tc>
          <w:tcPr>
            <w:tcW w:w="7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7FB6B2CB" w14:textId="77777777" w:rsidR="00AC59F0" w:rsidRDefault="00AC59F0" w:rsidP="00512D27"/>
        </w:tc>
      </w:tr>
      <w:tr w:rsidR="00990F68" w14:paraId="41BC2D0F" w14:textId="77777777" w:rsidTr="00990F68">
        <w:trPr>
          <w:jc w:val="center"/>
        </w:trPr>
        <w:tc>
          <w:tcPr>
            <w:tcW w:w="822" w:type="pct"/>
            <w:shd w:val="clear" w:color="auto" w:fill="D9E2F3" w:themeFill="accent1" w:themeFillTint="33"/>
            <w:vAlign w:val="center"/>
          </w:tcPr>
          <w:p w14:paraId="61EB7AA4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 xml:space="preserve">Transfert des fonds DAT en banque </w:t>
            </w:r>
          </w:p>
        </w:tc>
        <w:tc>
          <w:tcPr>
            <w:tcW w:w="1095" w:type="pct"/>
            <w:shd w:val="clear" w:color="auto" w:fill="D9E2F3" w:themeFill="accent1" w:themeFillTint="33"/>
            <w:vAlign w:val="center"/>
          </w:tcPr>
          <w:p w14:paraId="21CCCB55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 xml:space="preserve">Comptage des fonds issus des DAT et versement en banque </w:t>
            </w:r>
          </w:p>
        </w:tc>
        <w:tc>
          <w:tcPr>
            <w:tcW w:w="765" w:type="pc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8A148FB" w14:textId="77777777" w:rsidR="00AC59F0" w:rsidRPr="00DB2B94" w:rsidRDefault="00AC59F0" w:rsidP="00512D27">
            <w:pPr>
              <w:jc w:val="center"/>
              <w:rPr>
                <w:rFonts w:ascii="Arial" w:hAnsi="Arial" w:cs="Arial"/>
              </w:rPr>
            </w:pPr>
            <w:r w:rsidRPr="00DB2B94">
              <w:rPr>
                <w:rFonts w:ascii="Arial" w:hAnsi="Arial" w:cs="Arial"/>
              </w:rPr>
              <w:t>Quotité horaire</w:t>
            </w:r>
          </w:p>
        </w:tc>
        <w:tc>
          <w:tcPr>
            <w:tcW w:w="781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EAADB" w:themeFill="accent1" w:themeFillTint="99"/>
            <w:vAlign w:val="center"/>
          </w:tcPr>
          <w:p w14:paraId="6E799B80" w14:textId="77777777" w:rsidR="00AC59F0" w:rsidRDefault="00AC59F0" w:rsidP="00512D27"/>
        </w:tc>
        <w:tc>
          <w:tcPr>
            <w:tcW w:w="73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4A4F60EE" w14:textId="77777777" w:rsidR="00AC59F0" w:rsidRDefault="00AC59F0" w:rsidP="00512D27"/>
        </w:tc>
        <w:tc>
          <w:tcPr>
            <w:tcW w:w="7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624665CC" w14:textId="77777777" w:rsidR="00AC59F0" w:rsidRDefault="00AC59F0" w:rsidP="00512D27"/>
        </w:tc>
      </w:tr>
      <w:tr w:rsidR="005A054B" w14:paraId="39FAA4AE" w14:textId="77777777" w:rsidTr="00990F68">
        <w:trPr>
          <w:jc w:val="center"/>
        </w:trPr>
        <w:tc>
          <w:tcPr>
            <w:tcW w:w="822" w:type="pct"/>
            <w:shd w:val="clear" w:color="auto" w:fill="D9E2F3" w:themeFill="accent1" w:themeFillTint="33"/>
            <w:vAlign w:val="center"/>
          </w:tcPr>
          <w:p w14:paraId="6B196C24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>Récupération sur site des fonds</w:t>
            </w:r>
          </w:p>
        </w:tc>
        <w:tc>
          <w:tcPr>
            <w:tcW w:w="1095" w:type="pct"/>
            <w:shd w:val="clear" w:color="auto" w:fill="D9E2F3" w:themeFill="accent1" w:themeFillTint="33"/>
            <w:vAlign w:val="center"/>
          </w:tcPr>
          <w:p w14:paraId="49569D29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 xml:space="preserve">Ramassage régulier des fonds en points de vente et </w:t>
            </w:r>
          </w:p>
        </w:tc>
        <w:tc>
          <w:tcPr>
            <w:tcW w:w="765" w:type="pc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AD7FFF2" w14:textId="77777777" w:rsidR="00AC59F0" w:rsidRPr="00DB2B94" w:rsidRDefault="00AC59F0" w:rsidP="00512D27">
            <w:pPr>
              <w:jc w:val="center"/>
              <w:rPr>
                <w:rFonts w:ascii="Arial" w:hAnsi="Arial" w:cs="Arial"/>
              </w:rPr>
            </w:pPr>
            <w:r w:rsidRPr="00DB2B94">
              <w:rPr>
                <w:rFonts w:ascii="Arial" w:hAnsi="Arial" w:cs="Arial"/>
              </w:rPr>
              <w:t>1 tournée</w:t>
            </w:r>
          </w:p>
        </w:tc>
        <w:tc>
          <w:tcPr>
            <w:tcW w:w="781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EAADB" w:themeFill="accent1" w:themeFillTint="99"/>
            <w:vAlign w:val="center"/>
          </w:tcPr>
          <w:p w14:paraId="6B82966B" w14:textId="77777777" w:rsidR="00AC59F0" w:rsidRDefault="00AC59F0" w:rsidP="00512D27"/>
        </w:tc>
        <w:tc>
          <w:tcPr>
            <w:tcW w:w="73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0BD166DC" w14:textId="77777777" w:rsidR="00AC59F0" w:rsidRDefault="00AC59F0" w:rsidP="00512D27"/>
        </w:tc>
        <w:tc>
          <w:tcPr>
            <w:tcW w:w="7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7B63AD42" w14:textId="77777777" w:rsidR="00AC59F0" w:rsidRDefault="00AC59F0" w:rsidP="00512D27"/>
        </w:tc>
      </w:tr>
      <w:tr w:rsidR="000737D2" w14:paraId="0FDFE246" w14:textId="77777777" w:rsidTr="00990F68">
        <w:trPr>
          <w:jc w:val="center"/>
        </w:trPr>
        <w:tc>
          <w:tcPr>
            <w:tcW w:w="822" w:type="pct"/>
            <w:shd w:val="clear" w:color="auto" w:fill="D9E2F3" w:themeFill="accent1" w:themeFillTint="33"/>
            <w:vAlign w:val="center"/>
          </w:tcPr>
          <w:p w14:paraId="5F8C69AC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 xml:space="preserve">Transfert des fonds </w:t>
            </w:r>
            <w:r w:rsidR="00512D27" w:rsidRPr="003444E2">
              <w:rPr>
                <w:rFonts w:ascii="Arial" w:hAnsi="Arial" w:cs="Arial"/>
              </w:rPr>
              <w:t xml:space="preserve">des </w:t>
            </w:r>
            <w:r w:rsidRPr="003444E2">
              <w:rPr>
                <w:rFonts w:ascii="Arial" w:hAnsi="Arial" w:cs="Arial"/>
              </w:rPr>
              <w:t>points de vente en banque</w:t>
            </w:r>
          </w:p>
        </w:tc>
        <w:tc>
          <w:tcPr>
            <w:tcW w:w="1095" w:type="pct"/>
            <w:shd w:val="clear" w:color="auto" w:fill="D9E2F3" w:themeFill="accent1" w:themeFillTint="33"/>
            <w:vAlign w:val="center"/>
          </w:tcPr>
          <w:p w14:paraId="28BEC9BF" w14:textId="1FA24221" w:rsidR="00AC59F0" w:rsidRPr="003444E2" w:rsidRDefault="003444E2" w:rsidP="00512D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AC59F0" w:rsidRPr="003444E2">
              <w:rPr>
                <w:rFonts w:ascii="Arial" w:hAnsi="Arial" w:cs="Arial"/>
              </w:rPr>
              <w:t>omptage contradictoire des fonds récupérés puis versement en banque</w:t>
            </w:r>
          </w:p>
        </w:tc>
        <w:tc>
          <w:tcPr>
            <w:tcW w:w="765" w:type="pc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A4E6B32" w14:textId="77777777" w:rsidR="00AC59F0" w:rsidRPr="00DB2B94" w:rsidRDefault="00AC59F0" w:rsidP="00512D27">
            <w:pPr>
              <w:jc w:val="center"/>
              <w:rPr>
                <w:rFonts w:ascii="Arial" w:hAnsi="Arial" w:cs="Arial"/>
              </w:rPr>
            </w:pPr>
            <w:r w:rsidRPr="00DB2B94">
              <w:rPr>
                <w:rFonts w:ascii="Arial" w:hAnsi="Arial" w:cs="Arial"/>
              </w:rPr>
              <w:t>Quotité horaire</w:t>
            </w:r>
          </w:p>
        </w:tc>
        <w:tc>
          <w:tcPr>
            <w:tcW w:w="781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EAADB" w:themeFill="accent1" w:themeFillTint="99"/>
            <w:vAlign w:val="center"/>
          </w:tcPr>
          <w:p w14:paraId="6D732997" w14:textId="77777777" w:rsidR="00AC59F0" w:rsidRDefault="00AC59F0" w:rsidP="00512D27"/>
        </w:tc>
        <w:tc>
          <w:tcPr>
            <w:tcW w:w="73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760F6A2E" w14:textId="77777777" w:rsidR="00AC59F0" w:rsidRDefault="00AC59F0" w:rsidP="00512D27"/>
        </w:tc>
        <w:tc>
          <w:tcPr>
            <w:tcW w:w="7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48696F4E" w14:textId="77777777" w:rsidR="00AC59F0" w:rsidRDefault="00AC59F0" w:rsidP="00512D27"/>
        </w:tc>
      </w:tr>
      <w:tr w:rsidR="000737D2" w14:paraId="783823F1" w14:textId="77777777" w:rsidTr="00990F68">
        <w:trPr>
          <w:jc w:val="center"/>
        </w:trPr>
        <w:tc>
          <w:tcPr>
            <w:tcW w:w="822" w:type="pct"/>
            <w:shd w:val="clear" w:color="auto" w:fill="D9E2F3" w:themeFill="accent1" w:themeFillTint="33"/>
            <w:vAlign w:val="center"/>
          </w:tcPr>
          <w:p w14:paraId="1AF8503A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>Inventaire DAT</w:t>
            </w:r>
          </w:p>
        </w:tc>
        <w:tc>
          <w:tcPr>
            <w:tcW w:w="1095" w:type="pct"/>
            <w:shd w:val="clear" w:color="auto" w:fill="D9E2F3" w:themeFill="accent1" w:themeFillTint="33"/>
            <w:vAlign w:val="center"/>
          </w:tcPr>
          <w:p w14:paraId="432A8EC5" w14:textId="77777777" w:rsidR="00AC59F0" w:rsidRPr="003444E2" w:rsidRDefault="00AC59F0" w:rsidP="00512D27">
            <w:pPr>
              <w:rPr>
                <w:rFonts w:ascii="Arial" w:hAnsi="Arial" w:cs="Arial"/>
              </w:rPr>
            </w:pPr>
            <w:r w:rsidRPr="003444E2">
              <w:rPr>
                <w:rFonts w:ascii="Arial" w:hAnsi="Arial" w:cs="Arial"/>
              </w:rPr>
              <w:t>Inventaire annuel des DAT</w:t>
            </w:r>
          </w:p>
        </w:tc>
        <w:tc>
          <w:tcPr>
            <w:tcW w:w="765" w:type="pc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2B40344" w14:textId="77777777" w:rsidR="00AC59F0" w:rsidRPr="00DB2B94" w:rsidRDefault="00AC59F0" w:rsidP="00512D27">
            <w:pPr>
              <w:jc w:val="center"/>
              <w:rPr>
                <w:rFonts w:ascii="Arial" w:hAnsi="Arial" w:cs="Arial"/>
              </w:rPr>
            </w:pPr>
            <w:r w:rsidRPr="00DB2B94">
              <w:rPr>
                <w:rFonts w:ascii="Arial" w:hAnsi="Arial" w:cs="Arial"/>
              </w:rPr>
              <w:t>Quotité horaire par DAT</w:t>
            </w:r>
          </w:p>
        </w:tc>
        <w:tc>
          <w:tcPr>
            <w:tcW w:w="781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8EAADB" w:themeFill="accent1" w:themeFillTint="99"/>
            <w:vAlign w:val="center"/>
          </w:tcPr>
          <w:p w14:paraId="5EEE3087" w14:textId="77777777" w:rsidR="00AC59F0" w:rsidRDefault="00AC59F0" w:rsidP="00512D27"/>
        </w:tc>
        <w:tc>
          <w:tcPr>
            <w:tcW w:w="73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72C8894D" w14:textId="77777777" w:rsidR="00AC59F0" w:rsidRDefault="00AC59F0" w:rsidP="00512D27"/>
        </w:tc>
        <w:tc>
          <w:tcPr>
            <w:tcW w:w="7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12483C25" w14:textId="77777777" w:rsidR="00AC59F0" w:rsidRDefault="00AC59F0" w:rsidP="00512D27"/>
        </w:tc>
      </w:tr>
    </w:tbl>
    <w:p w14:paraId="1CC7BFDA" w14:textId="77777777" w:rsidR="00D26BBA" w:rsidRPr="005A054B" w:rsidRDefault="00AC59F0" w:rsidP="00AC59F0">
      <w:pPr>
        <w:jc w:val="center"/>
        <w:rPr>
          <w:rFonts w:ascii="Arial" w:hAnsi="Arial" w:cs="Arial"/>
          <w:sz w:val="28"/>
          <w:szCs w:val="28"/>
        </w:rPr>
      </w:pPr>
      <w:r w:rsidRPr="00AC59F0">
        <w:rPr>
          <w:sz w:val="28"/>
          <w:szCs w:val="28"/>
        </w:rPr>
        <w:t xml:space="preserve"> </w:t>
      </w:r>
      <w:r w:rsidRPr="005A054B">
        <w:rPr>
          <w:rFonts w:ascii="Arial" w:hAnsi="Arial" w:cs="Arial"/>
          <w:sz w:val="28"/>
          <w:szCs w:val="28"/>
        </w:rPr>
        <w:t>ANNEXE FINANCIERE A L’ACTE D’ENGAGEMENT</w:t>
      </w:r>
    </w:p>
    <w:p w14:paraId="3617C5DE" w14:textId="77777777" w:rsidR="00AC59F0" w:rsidRPr="00AC59F0" w:rsidRDefault="00AC59F0" w:rsidP="00AC59F0">
      <w:pPr>
        <w:jc w:val="center"/>
        <w:rPr>
          <w:sz w:val="28"/>
          <w:szCs w:val="28"/>
        </w:rPr>
      </w:pPr>
    </w:p>
    <w:sectPr w:rsidR="00AC59F0" w:rsidRPr="00AC59F0" w:rsidSect="001A7C63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A2B84" w14:textId="77777777" w:rsidR="008C2D5E" w:rsidRDefault="008C2D5E" w:rsidP="001A7C63">
      <w:pPr>
        <w:spacing w:after="0" w:line="240" w:lineRule="auto"/>
      </w:pPr>
      <w:r>
        <w:separator/>
      </w:r>
    </w:p>
  </w:endnote>
  <w:endnote w:type="continuationSeparator" w:id="0">
    <w:p w14:paraId="1E1771ED" w14:textId="77777777" w:rsidR="008C2D5E" w:rsidRDefault="008C2D5E" w:rsidP="001A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F06F4" w14:textId="77777777" w:rsidR="008C2D5E" w:rsidRDefault="008C2D5E" w:rsidP="001A7C63">
      <w:pPr>
        <w:spacing w:after="0" w:line="240" w:lineRule="auto"/>
      </w:pPr>
      <w:r>
        <w:separator/>
      </w:r>
    </w:p>
  </w:footnote>
  <w:footnote w:type="continuationSeparator" w:id="0">
    <w:p w14:paraId="3B578A00" w14:textId="77777777" w:rsidR="008C2D5E" w:rsidRDefault="008C2D5E" w:rsidP="001A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CED2" w14:textId="5258CE94" w:rsidR="00AC59F0" w:rsidRDefault="00AC59F0">
    <w:pPr>
      <w:pStyle w:val="En-tte"/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0B2125">
      <w:rPr>
        <w:noProof/>
      </w:rPr>
      <w:drawing>
        <wp:inline distT="0" distB="0" distL="0" distR="0" wp14:anchorId="08E0ACA6" wp14:editId="3822D087">
          <wp:extent cx="1651000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100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F9F283" w14:textId="77777777" w:rsidR="000B2125" w:rsidRDefault="000B212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BA"/>
    <w:rsid w:val="000737D2"/>
    <w:rsid w:val="000B2125"/>
    <w:rsid w:val="00115E61"/>
    <w:rsid w:val="001A7C63"/>
    <w:rsid w:val="003444E2"/>
    <w:rsid w:val="00380C6B"/>
    <w:rsid w:val="00512D27"/>
    <w:rsid w:val="0057685F"/>
    <w:rsid w:val="005A054B"/>
    <w:rsid w:val="00641DD6"/>
    <w:rsid w:val="007D2EC6"/>
    <w:rsid w:val="008C2D5E"/>
    <w:rsid w:val="008E57DA"/>
    <w:rsid w:val="00923F37"/>
    <w:rsid w:val="00990F68"/>
    <w:rsid w:val="009B472A"/>
    <w:rsid w:val="009C41BB"/>
    <w:rsid w:val="00AC59F0"/>
    <w:rsid w:val="00D171C2"/>
    <w:rsid w:val="00D26BBA"/>
    <w:rsid w:val="00D64586"/>
    <w:rsid w:val="00DB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106707"/>
  <w15:chartTrackingRefBased/>
  <w15:docId w15:val="{073BAFEC-FB14-4CC6-8115-64236DC3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2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A7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A7C63"/>
  </w:style>
  <w:style w:type="paragraph" w:styleId="Pieddepage">
    <w:name w:val="footer"/>
    <w:basedOn w:val="Normal"/>
    <w:link w:val="PieddepageCar"/>
    <w:uiPriority w:val="99"/>
    <w:unhideWhenUsed/>
    <w:rsid w:val="001A7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A7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D1D2B23E81794F94355CB77577DB89" ma:contentTypeVersion="9" ma:contentTypeDescription="Crée un document." ma:contentTypeScope="" ma:versionID="b5ca7bc06e8379b78cea094de2f4b862">
  <xsd:schema xmlns:xsd="http://www.w3.org/2001/XMLSchema" xmlns:xs="http://www.w3.org/2001/XMLSchema" xmlns:p="http://schemas.microsoft.com/office/2006/metadata/properties" xmlns:ns3="f1a71356-af25-4b64-88af-3e3a3c239123" xmlns:ns4="de166a34-6542-45b1-9f5e-9d432360f05c" targetNamespace="http://schemas.microsoft.com/office/2006/metadata/properties" ma:root="true" ma:fieldsID="969bc04d24f4710a0d3058a4d7be051f" ns3:_="" ns4:_="">
    <xsd:import namespace="f1a71356-af25-4b64-88af-3e3a3c239123"/>
    <xsd:import namespace="de166a34-6542-45b1-9f5e-9d432360f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71356-af25-4b64-88af-3e3a3c2391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66a34-6542-45b1-9f5e-9d432360f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A9AB1-FCEE-412E-B7B7-8D8ABD465B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352AE6-198F-489A-AD21-BEA169D53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a71356-af25-4b64-88af-3e3a3c239123"/>
    <ds:schemaRef ds:uri="de166a34-6542-45b1-9f5e-9d432360f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E6E08-7016-477C-8C39-A4247FAABE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4220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MBB.ic Ingénierie &amp; Conseil</dc:creator>
  <cp:keywords/>
  <dc:description/>
  <cp:lastModifiedBy>MBB ic</cp:lastModifiedBy>
  <cp:revision>10</cp:revision>
  <dcterms:created xsi:type="dcterms:W3CDTF">2019-10-04T13:41:00Z</dcterms:created>
  <dcterms:modified xsi:type="dcterms:W3CDTF">2025-07-22T16:28:00Z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0x01010036D1D2B23E81794F94355CB77577DB89</vt:lpwstr>
  </property>
</Properties>
</file>