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EF8FF" w14:textId="77777777" w:rsidR="008A18C6" w:rsidRDefault="008A18C6" w:rsidP="008A18C6">
      <w:pPr>
        <w:autoSpaceDE w:val="0"/>
        <w:autoSpaceDN w:val="0"/>
        <w:adjustRightInd w:val="0"/>
        <w:jc w:val="center"/>
        <w:rPr>
          <w:b/>
          <w:bCs/>
          <w:color w:val="000000"/>
          <w:sz w:val="56"/>
          <w:szCs w:val="56"/>
        </w:rPr>
      </w:pPr>
    </w:p>
    <w:p w14:paraId="705CB819" w14:textId="77777777" w:rsidR="00F86F9D" w:rsidRPr="008F1E8C" w:rsidRDefault="00F86F9D" w:rsidP="00F86F9D">
      <w:pPr>
        <w:widowControl w:val="0"/>
        <w:autoSpaceDE w:val="0"/>
        <w:autoSpaceDN w:val="0"/>
        <w:adjustRightInd w:val="0"/>
        <w:spacing w:after="0" w:line="240" w:lineRule="auto"/>
        <w:jc w:val="center"/>
        <w:rPr>
          <w:rFonts w:ascii="Courier New" w:eastAsia="Times New Roman" w:hAnsi="Courier New" w:cs="Courier New"/>
          <w:b/>
          <w:noProof/>
          <w:sz w:val="28"/>
          <w:szCs w:val="24"/>
          <w:lang w:eastAsia="fr-FR"/>
        </w:rPr>
      </w:pPr>
      <w:r>
        <w:rPr>
          <w:rFonts w:ascii="Courier New" w:eastAsia="Times New Roman" w:hAnsi="Courier New" w:cs="Courier New"/>
          <w:b/>
          <w:noProof/>
          <w:sz w:val="28"/>
          <w:szCs w:val="24"/>
          <w:lang w:eastAsia="fr-FR"/>
        </w:rPr>
        <w:drawing>
          <wp:anchor distT="0" distB="0" distL="114300" distR="114300" simplePos="0" relativeHeight="251659264" behindDoc="0" locked="0" layoutInCell="1" allowOverlap="1" wp14:anchorId="37E59361" wp14:editId="7D53C14F">
            <wp:simplePos x="0" y="0"/>
            <wp:positionH relativeFrom="margin">
              <wp:align>center</wp:align>
            </wp:positionH>
            <wp:positionV relativeFrom="paragraph">
              <wp:posOffset>-266700</wp:posOffset>
            </wp:positionV>
            <wp:extent cx="2724150" cy="1471773"/>
            <wp:effectExtent l="0" t="0" r="0" b="0"/>
            <wp:wrapNone/>
            <wp:docPr id="1731770526" name="Image 2" descr="Une image contenant Graphique, graphisme, Police, clip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770526" name="Image 2" descr="Une image contenant Graphique, graphisme, Police, clipart&#10;&#10;Le contenu généré par l’IA peut êtr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24150" cy="1471773"/>
                    </a:xfrm>
                    <a:prstGeom prst="rect">
                      <a:avLst/>
                    </a:prstGeom>
                  </pic:spPr>
                </pic:pic>
              </a:graphicData>
            </a:graphic>
            <wp14:sizeRelH relativeFrom="margin">
              <wp14:pctWidth>0</wp14:pctWidth>
            </wp14:sizeRelH>
            <wp14:sizeRelV relativeFrom="margin">
              <wp14:pctHeight>0</wp14:pctHeight>
            </wp14:sizeRelV>
          </wp:anchor>
        </w:drawing>
      </w:r>
    </w:p>
    <w:p w14:paraId="300F8DD8" w14:textId="77777777" w:rsidR="00F86F9D" w:rsidRPr="008F1E8C" w:rsidRDefault="00F86F9D" w:rsidP="00F86F9D">
      <w:pPr>
        <w:widowControl w:val="0"/>
        <w:autoSpaceDE w:val="0"/>
        <w:autoSpaceDN w:val="0"/>
        <w:adjustRightInd w:val="0"/>
        <w:spacing w:after="0" w:line="240" w:lineRule="auto"/>
        <w:jc w:val="center"/>
        <w:rPr>
          <w:rFonts w:ascii="Courier New" w:eastAsia="Times New Roman" w:hAnsi="Courier New" w:cs="Courier New"/>
          <w:b/>
          <w:noProof/>
          <w:sz w:val="28"/>
          <w:szCs w:val="24"/>
          <w:lang w:eastAsia="fr-FR"/>
        </w:rPr>
      </w:pPr>
    </w:p>
    <w:p w14:paraId="5FC16D8F" w14:textId="77777777" w:rsidR="00F86F9D" w:rsidRPr="008F1E8C" w:rsidRDefault="00F86F9D" w:rsidP="00F86F9D">
      <w:pPr>
        <w:widowControl w:val="0"/>
        <w:autoSpaceDE w:val="0"/>
        <w:autoSpaceDN w:val="0"/>
        <w:adjustRightInd w:val="0"/>
        <w:spacing w:after="0" w:line="240" w:lineRule="auto"/>
        <w:jc w:val="center"/>
        <w:rPr>
          <w:rFonts w:ascii="Courier New" w:eastAsia="Times New Roman" w:hAnsi="Courier New" w:cs="Courier New"/>
          <w:b/>
          <w:noProof/>
          <w:sz w:val="28"/>
          <w:szCs w:val="24"/>
          <w:lang w:eastAsia="fr-FR"/>
        </w:rPr>
      </w:pPr>
    </w:p>
    <w:p w14:paraId="1A94FBD7" w14:textId="77777777" w:rsidR="00F86F9D" w:rsidRPr="008F1E8C" w:rsidRDefault="00F86F9D" w:rsidP="00F86F9D">
      <w:pPr>
        <w:widowControl w:val="0"/>
        <w:autoSpaceDE w:val="0"/>
        <w:autoSpaceDN w:val="0"/>
        <w:adjustRightInd w:val="0"/>
        <w:spacing w:after="0" w:line="240" w:lineRule="auto"/>
        <w:jc w:val="center"/>
        <w:rPr>
          <w:rFonts w:ascii="Courier New" w:eastAsia="Times New Roman" w:hAnsi="Courier New" w:cs="Courier New"/>
          <w:b/>
          <w:noProof/>
          <w:sz w:val="28"/>
          <w:szCs w:val="24"/>
          <w:lang w:eastAsia="fr-FR"/>
        </w:rPr>
      </w:pPr>
    </w:p>
    <w:p w14:paraId="608E285E" w14:textId="77777777" w:rsidR="00F86F9D" w:rsidRDefault="00F86F9D" w:rsidP="00F86F9D">
      <w:pPr>
        <w:spacing w:after="0" w:line="240" w:lineRule="auto"/>
        <w:jc w:val="both"/>
        <w:rPr>
          <w:rFonts w:ascii="Times New Roman" w:eastAsia="Times New Roman" w:hAnsi="Times New Roman" w:cs="Times New Roman"/>
          <w:szCs w:val="20"/>
          <w:lang w:eastAsia="fr-FR"/>
        </w:rPr>
      </w:pPr>
    </w:p>
    <w:p w14:paraId="48AF8001" w14:textId="77777777" w:rsidR="00F86F9D" w:rsidRDefault="00F86F9D" w:rsidP="00F86F9D">
      <w:pPr>
        <w:spacing w:after="0" w:line="240" w:lineRule="auto"/>
        <w:rPr>
          <w:rFonts w:ascii="Times New Roman" w:eastAsia="Times New Roman" w:hAnsi="Times New Roman" w:cs="Times New Roman"/>
          <w:szCs w:val="20"/>
          <w:lang w:eastAsia="fr-FR"/>
        </w:rPr>
      </w:pPr>
    </w:p>
    <w:p w14:paraId="0FCE88BF" w14:textId="77777777" w:rsidR="00F86F9D" w:rsidRPr="00E9625F" w:rsidRDefault="00F86F9D" w:rsidP="00F86F9D">
      <w:pPr>
        <w:widowControl w:val="0"/>
        <w:autoSpaceDE w:val="0"/>
        <w:autoSpaceDN w:val="0"/>
        <w:adjustRightInd w:val="0"/>
        <w:spacing w:after="0" w:line="240" w:lineRule="auto"/>
        <w:rPr>
          <w:rFonts w:ascii="Times New Roman" w:eastAsia="Times New Roman" w:hAnsi="Times New Roman" w:cs="Times New Roman"/>
          <w:b/>
          <w:sz w:val="28"/>
          <w:szCs w:val="24"/>
          <w:lang w:val="en-US" w:eastAsia="fr-FR"/>
        </w:rPr>
      </w:pPr>
    </w:p>
    <w:p w14:paraId="0160CDD3" w14:textId="77777777" w:rsidR="00F86F9D" w:rsidRDefault="00F86F9D" w:rsidP="00F86F9D">
      <w:pPr>
        <w:spacing w:after="0" w:line="240" w:lineRule="auto"/>
        <w:rPr>
          <w:rFonts w:ascii="Times New Roman" w:eastAsia="Times New Roman" w:hAnsi="Times New Roman" w:cs="Times New Roman"/>
          <w:szCs w:val="20"/>
          <w:lang w:eastAsia="fr-FR"/>
        </w:rPr>
      </w:pPr>
    </w:p>
    <w:p w14:paraId="79C4C13C" w14:textId="77777777" w:rsidR="00F86F9D" w:rsidRDefault="00F86F9D" w:rsidP="00F86F9D">
      <w:pPr>
        <w:spacing w:after="0" w:line="240" w:lineRule="auto"/>
        <w:rPr>
          <w:rFonts w:ascii="Times New Roman" w:eastAsia="Times New Roman" w:hAnsi="Times New Roman" w:cs="Times New Roman"/>
          <w:szCs w:val="20"/>
          <w:lang w:eastAsia="fr-FR"/>
        </w:rPr>
      </w:pPr>
    </w:p>
    <w:p w14:paraId="0C3613BC" w14:textId="77777777" w:rsidR="00F86F9D" w:rsidRPr="002D26CC" w:rsidRDefault="00F86F9D" w:rsidP="00F86F9D">
      <w:pPr>
        <w:widowControl w:val="0"/>
        <w:autoSpaceDE w:val="0"/>
        <w:autoSpaceDN w:val="0"/>
        <w:adjustRightInd w:val="0"/>
        <w:spacing w:after="0" w:line="240" w:lineRule="auto"/>
        <w:jc w:val="center"/>
        <w:rPr>
          <w:rFonts w:ascii="Times New Roman" w:eastAsia="Times New Roman" w:hAnsi="Times New Roman" w:cs="Times New Roman"/>
          <w:b/>
          <w:noProof/>
          <w:color w:val="000000" w:themeColor="text1"/>
          <w:sz w:val="36"/>
          <w:szCs w:val="36"/>
          <w:u w:val="single"/>
          <w:lang w:eastAsia="fr-FR"/>
        </w:rPr>
      </w:pPr>
      <w:r>
        <w:rPr>
          <w:rFonts w:ascii="Times New Roman" w:eastAsia="Times New Roman" w:hAnsi="Times New Roman" w:cs="Times New Roman"/>
          <w:b/>
          <w:noProof/>
          <w:color w:val="000000" w:themeColor="text1"/>
          <w:sz w:val="36"/>
          <w:szCs w:val="36"/>
          <w:u w:val="single"/>
          <w:lang w:eastAsia="fr-FR"/>
        </w:rPr>
        <w:t>Commune</w:t>
      </w:r>
      <w:r w:rsidRPr="00E46F7C">
        <w:rPr>
          <w:rFonts w:ascii="Times New Roman" w:eastAsia="Times New Roman" w:hAnsi="Times New Roman" w:cs="Times New Roman"/>
          <w:b/>
          <w:noProof/>
          <w:color w:val="000000" w:themeColor="text1"/>
          <w:sz w:val="36"/>
          <w:szCs w:val="36"/>
          <w:u w:val="single"/>
          <w:lang w:eastAsia="fr-FR"/>
        </w:rPr>
        <w:t xml:space="preserve"> d’Agnetz</w:t>
      </w:r>
    </w:p>
    <w:p w14:paraId="119FD8C2" w14:textId="77777777" w:rsidR="00F86F9D" w:rsidRPr="00E46F7C" w:rsidRDefault="00F86F9D" w:rsidP="00F86F9D">
      <w:pPr>
        <w:widowControl w:val="0"/>
        <w:autoSpaceDE w:val="0"/>
        <w:autoSpaceDN w:val="0"/>
        <w:adjustRightInd w:val="0"/>
        <w:spacing w:after="0" w:line="240" w:lineRule="auto"/>
        <w:jc w:val="center"/>
        <w:rPr>
          <w:rFonts w:ascii="Times New Roman" w:eastAsia="Times New Roman" w:hAnsi="Times New Roman" w:cs="Times New Roman"/>
          <w:noProof/>
          <w:color w:val="000000" w:themeColor="text1"/>
          <w:sz w:val="36"/>
          <w:szCs w:val="36"/>
          <w:lang w:eastAsia="fr-FR"/>
        </w:rPr>
      </w:pPr>
      <w:r w:rsidRPr="00E46F7C">
        <w:rPr>
          <w:rFonts w:ascii="Times New Roman" w:eastAsia="Times New Roman" w:hAnsi="Times New Roman" w:cs="Times New Roman"/>
          <w:noProof/>
          <w:color w:val="000000" w:themeColor="text1"/>
          <w:sz w:val="36"/>
          <w:szCs w:val="36"/>
          <w:lang w:eastAsia="fr-FR"/>
        </w:rPr>
        <w:t>78, Rue du Faÿ</w:t>
      </w:r>
    </w:p>
    <w:p w14:paraId="3C4B4C90" w14:textId="77777777" w:rsidR="00F86F9D" w:rsidRPr="00E46F7C" w:rsidRDefault="00F86F9D" w:rsidP="00F86F9D">
      <w:pPr>
        <w:widowControl w:val="0"/>
        <w:autoSpaceDE w:val="0"/>
        <w:autoSpaceDN w:val="0"/>
        <w:adjustRightInd w:val="0"/>
        <w:spacing w:after="0" w:line="240" w:lineRule="auto"/>
        <w:jc w:val="center"/>
        <w:rPr>
          <w:rFonts w:ascii="Times New Roman" w:eastAsia="Times New Roman" w:hAnsi="Times New Roman" w:cs="Times New Roman"/>
          <w:noProof/>
          <w:color w:val="000000" w:themeColor="text1"/>
          <w:sz w:val="36"/>
          <w:szCs w:val="36"/>
          <w:lang w:eastAsia="fr-FR"/>
        </w:rPr>
      </w:pPr>
      <w:r w:rsidRPr="00E46F7C">
        <w:rPr>
          <w:rFonts w:ascii="Times New Roman" w:eastAsia="Times New Roman" w:hAnsi="Times New Roman" w:cs="Times New Roman"/>
          <w:noProof/>
          <w:color w:val="000000" w:themeColor="text1"/>
          <w:sz w:val="36"/>
          <w:szCs w:val="36"/>
          <w:lang w:eastAsia="fr-FR"/>
        </w:rPr>
        <w:t>60600 AGNETZ</w:t>
      </w:r>
    </w:p>
    <w:p w14:paraId="2FC51218" w14:textId="0A49E624" w:rsidR="00F86F9D" w:rsidRPr="00E46F7C" w:rsidRDefault="00F86F9D" w:rsidP="00F86F9D">
      <w:pPr>
        <w:widowControl w:val="0"/>
        <w:autoSpaceDE w:val="0"/>
        <w:autoSpaceDN w:val="0"/>
        <w:adjustRightInd w:val="0"/>
        <w:spacing w:after="0" w:line="240" w:lineRule="auto"/>
        <w:jc w:val="center"/>
        <w:rPr>
          <w:rFonts w:ascii="Times New Roman" w:eastAsia="Times New Roman" w:hAnsi="Times New Roman" w:cs="Times New Roman"/>
          <w:noProof/>
          <w:color w:val="000000" w:themeColor="text1"/>
          <w:sz w:val="36"/>
          <w:szCs w:val="36"/>
          <w:lang w:eastAsia="fr-FR"/>
        </w:rPr>
      </w:pPr>
      <w:r w:rsidRPr="00E46F7C">
        <w:rPr>
          <w:rFonts w:ascii="Times New Roman" w:eastAsia="Times New Roman" w:hAnsi="Times New Roman" w:cs="Times New Roman"/>
          <w:noProof/>
          <w:color w:val="000000" w:themeColor="text1"/>
          <w:sz w:val="36"/>
          <w:szCs w:val="36"/>
          <w:lang w:eastAsia="fr-FR"/>
        </w:rPr>
        <w:t>Tél: 03 44 68 23 0</w:t>
      </w:r>
      <w:r w:rsidR="009537D6">
        <w:rPr>
          <w:rFonts w:ascii="Times New Roman" w:eastAsia="Times New Roman" w:hAnsi="Times New Roman" w:cs="Times New Roman"/>
          <w:noProof/>
          <w:color w:val="000000" w:themeColor="text1"/>
          <w:sz w:val="36"/>
          <w:szCs w:val="36"/>
          <w:lang w:eastAsia="fr-FR"/>
        </w:rPr>
        <w:t>5</w:t>
      </w:r>
    </w:p>
    <w:p w14:paraId="3653FE22" w14:textId="77777777" w:rsidR="00F86F9D" w:rsidRPr="008F1E8C" w:rsidRDefault="00F86F9D" w:rsidP="00F86F9D">
      <w:pPr>
        <w:widowControl w:val="0"/>
        <w:autoSpaceDE w:val="0"/>
        <w:autoSpaceDN w:val="0"/>
        <w:adjustRightInd w:val="0"/>
        <w:spacing w:after="0" w:line="240" w:lineRule="auto"/>
        <w:jc w:val="center"/>
        <w:rPr>
          <w:rFonts w:ascii="Courier New" w:eastAsia="Times New Roman" w:hAnsi="Courier New" w:cs="Courier New"/>
          <w:b/>
          <w:noProof/>
          <w:sz w:val="24"/>
          <w:szCs w:val="24"/>
          <w:lang w:eastAsia="fr-FR"/>
        </w:rPr>
      </w:pPr>
    </w:p>
    <w:p w14:paraId="4F4928E8" w14:textId="77777777" w:rsidR="00F86F9D" w:rsidRPr="008F1E8C" w:rsidRDefault="00F86F9D" w:rsidP="00F86F9D">
      <w:pPr>
        <w:widowControl w:val="0"/>
        <w:autoSpaceDE w:val="0"/>
        <w:autoSpaceDN w:val="0"/>
        <w:adjustRightInd w:val="0"/>
        <w:spacing w:after="0" w:line="240" w:lineRule="auto"/>
        <w:jc w:val="center"/>
        <w:rPr>
          <w:rFonts w:ascii="Courier New" w:eastAsia="Times New Roman" w:hAnsi="Courier New" w:cs="Courier New"/>
          <w:b/>
          <w:noProof/>
          <w:sz w:val="24"/>
          <w:szCs w:val="24"/>
          <w:lang w:eastAsia="fr-FR"/>
        </w:rPr>
      </w:pPr>
    </w:p>
    <w:p w14:paraId="44B31BDB" w14:textId="77777777" w:rsidR="00F86F9D" w:rsidRPr="008F1E8C" w:rsidRDefault="00F86F9D" w:rsidP="00F86F9D">
      <w:pPr>
        <w:widowControl w:val="0"/>
        <w:autoSpaceDE w:val="0"/>
        <w:autoSpaceDN w:val="0"/>
        <w:adjustRightInd w:val="0"/>
        <w:spacing w:after="0" w:line="240" w:lineRule="auto"/>
        <w:rPr>
          <w:rFonts w:ascii="Courier New" w:eastAsia="Times New Roman" w:hAnsi="Courier New" w:cs="Courier New"/>
          <w:noProof/>
          <w:sz w:val="24"/>
          <w:szCs w:val="24"/>
          <w:lang w:eastAsia="fr-FR"/>
        </w:rPr>
      </w:pPr>
    </w:p>
    <w:p w14:paraId="264076A7" w14:textId="77777777" w:rsidR="00F86F9D" w:rsidRPr="008F1E8C" w:rsidRDefault="00F86F9D" w:rsidP="00F86F9D">
      <w:pPr>
        <w:framePr w:hSpace="142" w:wrap="notBeside" w:vAnchor="text" w:hAnchor="page" w:xAlign="center" w:y="1"/>
        <w:widowControl w:val="0"/>
        <w:autoSpaceDE w:val="0"/>
        <w:autoSpaceDN w:val="0"/>
        <w:adjustRightInd w:val="0"/>
        <w:spacing w:after="0" w:line="240" w:lineRule="auto"/>
        <w:jc w:val="center"/>
        <w:rPr>
          <w:rFonts w:ascii="Courier New" w:eastAsia="Times New Roman" w:hAnsi="Courier New" w:cs="Courier New"/>
          <w:noProof/>
          <w:sz w:val="24"/>
          <w:szCs w:val="24"/>
          <w:lang w:eastAsia="fr-FR"/>
        </w:rPr>
      </w:pPr>
    </w:p>
    <w:p w14:paraId="1214B332" w14:textId="55FAAD48" w:rsidR="00F86F9D" w:rsidRPr="007A5F3D" w:rsidRDefault="00F86F9D" w:rsidP="00F86F9D">
      <w:pPr>
        <w:widowControl w:val="0"/>
        <w:pBdr>
          <w:top w:val="single" w:sz="1" w:space="1" w:color="000000"/>
          <w:left w:val="single" w:sz="1" w:space="1" w:color="000000"/>
          <w:bottom w:val="single" w:sz="1" w:space="1" w:color="000000"/>
          <w:right w:val="single" w:sz="1" w:space="1" w:color="000000"/>
        </w:pBdr>
        <w:suppressAutoHyphens/>
        <w:spacing w:after="0" w:line="240" w:lineRule="auto"/>
        <w:ind w:right="242"/>
        <w:jc w:val="center"/>
        <w:rPr>
          <w:rFonts w:ascii="Arial" w:eastAsia="Lucida Sans Unicode" w:hAnsi="Arial" w:cs="Arial"/>
          <w:b/>
          <w:bCs/>
          <w:sz w:val="32"/>
          <w:szCs w:val="32"/>
        </w:rPr>
      </w:pPr>
      <w:r w:rsidRPr="007A5F3D">
        <w:rPr>
          <w:rFonts w:ascii="Arial" w:eastAsia="Lucida Sans Unicode" w:hAnsi="Arial" w:cs="Arial"/>
          <w:b/>
          <w:bCs/>
          <w:sz w:val="32"/>
          <w:szCs w:val="32"/>
        </w:rPr>
        <w:t xml:space="preserve">MARCHE DE </w:t>
      </w:r>
      <w:r w:rsidR="002D513C">
        <w:rPr>
          <w:rFonts w:ascii="Arial" w:eastAsia="Lucida Sans Unicode" w:hAnsi="Arial" w:cs="Arial"/>
          <w:b/>
          <w:bCs/>
          <w:sz w:val="32"/>
          <w:szCs w:val="32"/>
        </w:rPr>
        <w:t>FOURNITURES ET DE SERVICES</w:t>
      </w:r>
      <w:r>
        <w:rPr>
          <w:rFonts w:ascii="Arial" w:eastAsia="Lucida Sans Unicode" w:hAnsi="Arial" w:cs="Arial"/>
          <w:b/>
          <w:bCs/>
          <w:sz w:val="32"/>
          <w:szCs w:val="32"/>
        </w:rPr>
        <w:t xml:space="preserve"> </w:t>
      </w:r>
    </w:p>
    <w:p w14:paraId="3F2B466D" w14:textId="77777777" w:rsidR="00F86F9D" w:rsidRPr="008F1E8C" w:rsidRDefault="00F86F9D" w:rsidP="00F86F9D">
      <w:pPr>
        <w:widowControl w:val="0"/>
        <w:suppressAutoHyphens/>
        <w:spacing w:after="0" w:line="240" w:lineRule="auto"/>
        <w:rPr>
          <w:rFonts w:ascii="Arial" w:eastAsia="Lucida Sans Unicode" w:hAnsi="Arial" w:cs="Arial"/>
          <w:sz w:val="20"/>
          <w:szCs w:val="20"/>
          <w:lang w:eastAsia="ar-SA"/>
        </w:rPr>
      </w:pPr>
    </w:p>
    <w:p w14:paraId="7A39A573" w14:textId="77777777" w:rsidR="00F86F9D" w:rsidRPr="008F1E8C" w:rsidRDefault="00F86F9D" w:rsidP="00F86F9D">
      <w:pPr>
        <w:widowControl w:val="0"/>
        <w:suppressAutoHyphens/>
        <w:spacing w:after="0" w:line="240" w:lineRule="auto"/>
        <w:rPr>
          <w:rFonts w:ascii="Arial" w:eastAsia="Lucida Sans Unicode" w:hAnsi="Arial" w:cs="Arial"/>
          <w:sz w:val="20"/>
          <w:szCs w:val="20"/>
          <w:lang w:eastAsia="ar-SA"/>
        </w:rPr>
      </w:pPr>
    </w:p>
    <w:p w14:paraId="108D3586" w14:textId="77777777" w:rsidR="00F86F9D" w:rsidRDefault="00F86F9D" w:rsidP="00F86F9D">
      <w:pPr>
        <w:autoSpaceDE w:val="0"/>
        <w:autoSpaceDN w:val="0"/>
        <w:adjustRightInd w:val="0"/>
        <w:jc w:val="center"/>
        <w:rPr>
          <w:b/>
          <w:bCs/>
          <w:i/>
          <w:iCs/>
          <w:color w:val="000000"/>
          <w:sz w:val="40"/>
          <w:szCs w:val="40"/>
        </w:rPr>
      </w:pPr>
      <w:r>
        <w:rPr>
          <w:b/>
          <w:bCs/>
          <w:i/>
          <w:iCs/>
          <w:color w:val="000000"/>
          <w:sz w:val="40"/>
          <w:szCs w:val="40"/>
        </w:rPr>
        <w:t>Date et heure limite de réception des offres :</w:t>
      </w:r>
    </w:p>
    <w:p w14:paraId="144B1C31" w14:textId="4056D156" w:rsidR="00F86F9D" w:rsidRDefault="002D513C" w:rsidP="00F86F9D">
      <w:pPr>
        <w:autoSpaceDE w:val="0"/>
        <w:autoSpaceDN w:val="0"/>
        <w:adjustRightInd w:val="0"/>
        <w:jc w:val="center"/>
        <w:rPr>
          <w:b/>
          <w:bCs/>
          <w:i/>
          <w:iCs/>
          <w:sz w:val="40"/>
          <w:szCs w:val="40"/>
        </w:rPr>
      </w:pPr>
      <w:r>
        <w:rPr>
          <w:b/>
          <w:bCs/>
          <w:i/>
          <w:iCs/>
          <w:sz w:val="40"/>
          <w:szCs w:val="40"/>
        </w:rPr>
        <w:t>Vendredi 5 septembre 2025 à 12h00</w:t>
      </w:r>
    </w:p>
    <w:p w14:paraId="2085345B" w14:textId="77777777" w:rsidR="00F86F9D" w:rsidRDefault="00F86F9D" w:rsidP="00F86F9D">
      <w:pPr>
        <w:autoSpaceDE w:val="0"/>
        <w:autoSpaceDN w:val="0"/>
        <w:adjustRightInd w:val="0"/>
        <w:jc w:val="center"/>
        <w:rPr>
          <w:b/>
          <w:bCs/>
          <w:i/>
          <w:iCs/>
          <w:sz w:val="40"/>
          <w:szCs w:val="40"/>
        </w:rPr>
      </w:pPr>
      <w:r>
        <w:rPr>
          <w:b/>
          <w:bCs/>
          <w:i/>
          <w:iCs/>
          <w:sz w:val="40"/>
          <w:szCs w:val="40"/>
        </w:rPr>
        <w:t>Sur la plateforme :</w:t>
      </w:r>
    </w:p>
    <w:p w14:paraId="31365582" w14:textId="77777777" w:rsidR="00F86F9D" w:rsidRPr="00350640" w:rsidRDefault="00F86F9D" w:rsidP="00F86F9D">
      <w:pPr>
        <w:autoSpaceDE w:val="0"/>
        <w:autoSpaceDN w:val="0"/>
        <w:adjustRightInd w:val="0"/>
        <w:jc w:val="center"/>
        <w:rPr>
          <w:b/>
          <w:bCs/>
          <w:i/>
          <w:iCs/>
          <w:sz w:val="40"/>
          <w:szCs w:val="40"/>
          <w:lang w:val="en-US"/>
        </w:rPr>
      </w:pPr>
      <w:hyperlink r:id="rId8" w:history="1">
        <w:r w:rsidRPr="00350640">
          <w:rPr>
            <w:rStyle w:val="Lienhypertexte"/>
            <w:b/>
            <w:bCs/>
            <w:i/>
            <w:iCs/>
            <w:sz w:val="40"/>
            <w:szCs w:val="40"/>
            <w:lang w:val="en-US"/>
          </w:rPr>
          <w:t>www.marchessecurises.fr</w:t>
        </w:r>
      </w:hyperlink>
    </w:p>
    <w:p w14:paraId="0C7B3CE3" w14:textId="77777777" w:rsidR="00F86F9D" w:rsidRPr="00350640" w:rsidRDefault="00F86F9D" w:rsidP="00F86F9D">
      <w:pPr>
        <w:widowControl w:val="0"/>
        <w:suppressAutoHyphens/>
        <w:spacing w:after="0" w:line="240" w:lineRule="auto"/>
        <w:jc w:val="center"/>
        <w:rPr>
          <w:rFonts w:ascii="Arial" w:eastAsia="Lucida Sans Unicode" w:hAnsi="Arial" w:cs="Arial"/>
          <w:b/>
          <w:bCs/>
          <w:sz w:val="28"/>
          <w:szCs w:val="28"/>
          <w:lang w:val="en-US"/>
        </w:rPr>
      </w:pPr>
    </w:p>
    <w:p w14:paraId="6EDB9014" w14:textId="77777777" w:rsidR="00F86F9D" w:rsidRDefault="00F86F9D" w:rsidP="00F86F9D">
      <w:pPr>
        <w:widowControl w:val="0"/>
        <w:suppressAutoHyphens/>
        <w:spacing w:after="0" w:line="240" w:lineRule="auto"/>
        <w:rPr>
          <w:rFonts w:ascii="Arial" w:eastAsia="Lucida Sans Unicode" w:hAnsi="Arial" w:cs="Arial"/>
          <w:sz w:val="36"/>
          <w:szCs w:val="36"/>
          <w:lang w:val="en-US"/>
        </w:rPr>
      </w:pPr>
    </w:p>
    <w:p w14:paraId="78333145" w14:textId="44D6F2EC" w:rsidR="00F86F9D" w:rsidRDefault="00F4780B" w:rsidP="00F4780B">
      <w:pPr>
        <w:widowControl w:val="0"/>
        <w:suppressAutoHyphens/>
        <w:spacing w:after="0" w:line="240" w:lineRule="auto"/>
        <w:jc w:val="center"/>
        <w:rPr>
          <w:rFonts w:ascii="Arial" w:eastAsia="Lucida Sans Unicode" w:hAnsi="Arial" w:cs="Arial"/>
          <w:sz w:val="36"/>
          <w:szCs w:val="36"/>
          <w:lang w:val="en-US"/>
        </w:rPr>
      </w:pPr>
      <w:proofErr w:type="gramStart"/>
      <w:r>
        <w:rPr>
          <w:rFonts w:ascii="Arial" w:eastAsia="Lucida Sans Unicode" w:hAnsi="Arial" w:cs="Arial"/>
          <w:sz w:val="36"/>
          <w:szCs w:val="36"/>
          <w:lang w:val="en-US"/>
        </w:rPr>
        <w:t>Marché n°</w:t>
      </w:r>
      <w:proofErr w:type="gramEnd"/>
      <w:r>
        <w:rPr>
          <w:rFonts w:ascii="Arial" w:eastAsia="Lucida Sans Unicode" w:hAnsi="Arial" w:cs="Arial"/>
          <w:sz w:val="36"/>
          <w:szCs w:val="36"/>
          <w:lang w:val="en-US"/>
        </w:rPr>
        <w:t>2025-06</w:t>
      </w:r>
    </w:p>
    <w:p w14:paraId="5EF61462" w14:textId="77777777" w:rsidR="00F86F9D" w:rsidRDefault="00F86F9D" w:rsidP="00F86F9D">
      <w:pPr>
        <w:widowControl w:val="0"/>
        <w:suppressAutoHyphens/>
        <w:spacing w:after="0" w:line="240" w:lineRule="auto"/>
        <w:rPr>
          <w:rFonts w:ascii="Arial" w:eastAsia="Lucida Sans Unicode" w:hAnsi="Arial" w:cs="Arial"/>
          <w:sz w:val="36"/>
          <w:szCs w:val="36"/>
          <w:lang w:val="en-US"/>
        </w:rPr>
      </w:pPr>
    </w:p>
    <w:p w14:paraId="2178D83C" w14:textId="77777777" w:rsidR="00F86F9D" w:rsidRDefault="00F86F9D" w:rsidP="00F86F9D">
      <w:pPr>
        <w:widowControl w:val="0"/>
        <w:suppressAutoHyphens/>
        <w:spacing w:after="0" w:line="240" w:lineRule="auto"/>
        <w:rPr>
          <w:rFonts w:ascii="Arial" w:eastAsia="Lucida Sans Unicode" w:hAnsi="Arial" w:cs="Arial"/>
          <w:sz w:val="36"/>
          <w:szCs w:val="36"/>
          <w:lang w:val="en-US"/>
        </w:rPr>
      </w:pPr>
    </w:p>
    <w:p w14:paraId="340C271A" w14:textId="77777777" w:rsidR="00F86F9D" w:rsidRDefault="00F86F9D" w:rsidP="00F86F9D">
      <w:pPr>
        <w:widowControl w:val="0"/>
        <w:suppressAutoHyphens/>
        <w:spacing w:after="0" w:line="240" w:lineRule="auto"/>
        <w:rPr>
          <w:rFonts w:ascii="Arial" w:eastAsia="Lucida Sans Unicode" w:hAnsi="Arial" w:cs="Arial"/>
          <w:sz w:val="36"/>
          <w:szCs w:val="36"/>
          <w:lang w:val="en-US"/>
        </w:rPr>
      </w:pPr>
    </w:p>
    <w:p w14:paraId="5144D7DA" w14:textId="77777777" w:rsidR="00F86F9D" w:rsidRPr="00350640" w:rsidRDefault="00F86F9D" w:rsidP="00F86F9D">
      <w:pPr>
        <w:widowControl w:val="0"/>
        <w:suppressAutoHyphens/>
        <w:spacing w:after="0" w:line="240" w:lineRule="auto"/>
        <w:rPr>
          <w:rFonts w:ascii="Arial" w:eastAsia="Lucida Sans Unicode" w:hAnsi="Arial" w:cs="Arial"/>
          <w:sz w:val="36"/>
          <w:szCs w:val="36"/>
          <w:lang w:val="en-US"/>
        </w:rPr>
      </w:pPr>
    </w:p>
    <w:p w14:paraId="5919A401" w14:textId="77777777" w:rsidR="00F86F9D" w:rsidRPr="00350640" w:rsidRDefault="00F86F9D" w:rsidP="00F86F9D">
      <w:pPr>
        <w:widowControl w:val="0"/>
        <w:suppressAutoHyphens/>
        <w:spacing w:after="0" w:line="240" w:lineRule="auto"/>
        <w:rPr>
          <w:rFonts w:ascii="Arial" w:eastAsia="Lucida Sans Unicode" w:hAnsi="Arial" w:cs="Arial"/>
          <w:sz w:val="20"/>
          <w:szCs w:val="20"/>
          <w:lang w:val="en-US" w:eastAsia="ar-SA"/>
        </w:rPr>
      </w:pPr>
    </w:p>
    <w:p w14:paraId="47B5A416" w14:textId="77777777" w:rsidR="00F86F9D" w:rsidRPr="00350640" w:rsidRDefault="00F86F9D" w:rsidP="00F86F9D">
      <w:pPr>
        <w:widowControl w:val="0"/>
        <w:pBdr>
          <w:top w:val="single" w:sz="1" w:space="1" w:color="000000"/>
          <w:left w:val="single" w:sz="1" w:space="1" w:color="000000"/>
          <w:bottom w:val="single" w:sz="1" w:space="1" w:color="000000"/>
          <w:right w:val="single" w:sz="1" w:space="1" w:color="000000"/>
        </w:pBdr>
        <w:shd w:val="clear" w:color="auto" w:fill="E6E6FF"/>
        <w:suppressAutoHyphens/>
        <w:spacing w:after="0" w:line="240" w:lineRule="auto"/>
        <w:ind w:right="242"/>
        <w:rPr>
          <w:rFonts w:ascii="Arial" w:eastAsia="Lucida Sans Unicode" w:hAnsi="Arial" w:cs="Arial"/>
          <w:sz w:val="20"/>
          <w:szCs w:val="20"/>
          <w:lang w:val="en-US"/>
        </w:rPr>
      </w:pPr>
    </w:p>
    <w:p w14:paraId="1E64C526" w14:textId="77777777" w:rsidR="00F86F9D" w:rsidRPr="00740A04" w:rsidRDefault="00F86F9D" w:rsidP="00F86F9D">
      <w:pPr>
        <w:widowControl w:val="0"/>
        <w:pBdr>
          <w:top w:val="single" w:sz="1" w:space="1" w:color="000000"/>
          <w:left w:val="single" w:sz="1" w:space="1" w:color="000000"/>
          <w:bottom w:val="single" w:sz="1" w:space="1" w:color="000000"/>
          <w:right w:val="single" w:sz="1" w:space="1" w:color="000000"/>
        </w:pBdr>
        <w:shd w:val="clear" w:color="auto" w:fill="E6E6FF"/>
        <w:suppressAutoHyphens/>
        <w:spacing w:after="0" w:line="240" w:lineRule="auto"/>
        <w:ind w:right="242"/>
        <w:jc w:val="center"/>
        <w:rPr>
          <w:rFonts w:ascii="Arial" w:eastAsia="Lucida Sans Unicode" w:hAnsi="Arial" w:cs="Arial"/>
          <w:b/>
          <w:bCs/>
          <w:sz w:val="32"/>
          <w:szCs w:val="32"/>
        </w:rPr>
      </w:pPr>
      <w:r w:rsidRPr="00740A04">
        <w:rPr>
          <w:rFonts w:ascii="Arial" w:eastAsia="Lucida Sans Unicode" w:hAnsi="Arial" w:cs="Arial"/>
          <w:b/>
          <w:bCs/>
          <w:sz w:val="32"/>
          <w:szCs w:val="32"/>
        </w:rPr>
        <w:t>CCAP</w:t>
      </w:r>
    </w:p>
    <w:p w14:paraId="1AEBFE86" w14:textId="77777777" w:rsidR="00F86F9D" w:rsidRPr="00740A04" w:rsidRDefault="00F86F9D" w:rsidP="00F86F9D">
      <w:pPr>
        <w:widowControl w:val="0"/>
        <w:pBdr>
          <w:top w:val="single" w:sz="1" w:space="1" w:color="000000"/>
          <w:left w:val="single" w:sz="1" w:space="1" w:color="000000"/>
          <w:bottom w:val="single" w:sz="1" w:space="1" w:color="000000"/>
          <w:right w:val="single" w:sz="1" w:space="1" w:color="000000"/>
        </w:pBdr>
        <w:shd w:val="clear" w:color="auto" w:fill="E6E6FF"/>
        <w:suppressAutoHyphens/>
        <w:spacing w:after="0" w:line="240" w:lineRule="auto"/>
        <w:ind w:right="242"/>
        <w:rPr>
          <w:rFonts w:ascii="Arial" w:eastAsia="Lucida Sans Unicode" w:hAnsi="Arial" w:cs="Arial"/>
          <w:sz w:val="20"/>
          <w:szCs w:val="20"/>
        </w:rPr>
      </w:pPr>
    </w:p>
    <w:p w14:paraId="242CF494" w14:textId="77777777" w:rsidR="00F86F9D" w:rsidRDefault="00F86F9D" w:rsidP="00F86F9D">
      <w:pPr>
        <w:rPr>
          <w:rFonts w:ascii="Arial" w:hAnsi="Arial"/>
          <w:b/>
          <w:bCs/>
          <w:sz w:val="48"/>
          <w:szCs w:val="48"/>
        </w:rPr>
      </w:pPr>
    </w:p>
    <w:p w14:paraId="2DB9CCD5" w14:textId="77777777" w:rsidR="004878DA" w:rsidRPr="004878DA" w:rsidRDefault="004878DA" w:rsidP="004878DA">
      <w:pPr>
        <w:jc w:val="both"/>
        <w:rPr>
          <w:b/>
        </w:rPr>
      </w:pPr>
      <w:r w:rsidRPr="004878DA">
        <w:rPr>
          <w:b/>
        </w:rPr>
        <w:lastRenderedPageBreak/>
        <w:t xml:space="preserve">PREAMBULE </w:t>
      </w:r>
    </w:p>
    <w:p w14:paraId="4BF3CFE9" w14:textId="6F0ADF34" w:rsidR="004878DA" w:rsidRDefault="004878DA" w:rsidP="004878DA">
      <w:pPr>
        <w:jc w:val="both"/>
      </w:pPr>
      <w:r>
        <w:t xml:space="preserve">Toutes les références faites par le présent cahier des clauses administratives particulières au C.C.A.G. et C.C.T.G. concernent respectivement : - le cahier des clauses administratives générales – C.C.A.G. – applicables aux marchés publics de </w:t>
      </w:r>
      <w:r w:rsidR="002D513C">
        <w:t>fournitures courantes et de services</w:t>
      </w:r>
      <w:r>
        <w:t xml:space="preserve"> approuvé par arrêté du </w:t>
      </w:r>
      <w:r w:rsidR="002D513C">
        <w:t>29</w:t>
      </w:r>
      <w:r>
        <w:t xml:space="preserve"> </w:t>
      </w:r>
      <w:r w:rsidR="002D513C">
        <w:t>décembre 2022</w:t>
      </w:r>
      <w:r>
        <w:t xml:space="preserve">, version consolidée en vigueur. - le cahier des clauses techniques générales – C.C.T.G. en vigueur – applicables aux marchés publics </w:t>
      </w:r>
      <w:r w:rsidR="002D513C">
        <w:t>de fournitures courantes de services.</w:t>
      </w:r>
      <w:r>
        <w:t xml:space="preserve"> </w:t>
      </w:r>
    </w:p>
    <w:p w14:paraId="637BF0E3" w14:textId="77777777" w:rsidR="004878DA" w:rsidRDefault="004878DA" w:rsidP="004878DA">
      <w:pPr>
        <w:jc w:val="both"/>
      </w:pPr>
    </w:p>
    <w:p w14:paraId="213002DB" w14:textId="0A196909" w:rsidR="004878DA" w:rsidRPr="004878DA" w:rsidRDefault="004878DA" w:rsidP="004878DA">
      <w:pPr>
        <w:jc w:val="both"/>
        <w:rPr>
          <w:b/>
        </w:rPr>
      </w:pPr>
      <w:r w:rsidRPr="004878DA">
        <w:rPr>
          <w:b/>
        </w:rPr>
        <w:t xml:space="preserve">ARTICLE UN </w:t>
      </w:r>
      <w:r w:rsidR="00493077">
        <w:rPr>
          <w:b/>
        </w:rPr>
        <w:t>– Objet du marché</w:t>
      </w:r>
      <w:r w:rsidRPr="004878DA">
        <w:rPr>
          <w:b/>
        </w:rPr>
        <w:t xml:space="preserve"> / Dispositions Générales </w:t>
      </w:r>
    </w:p>
    <w:p w14:paraId="3F523676" w14:textId="341FEF39" w:rsidR="004878DA" w:rsidRPr="00B43A75" w:rsidRDefault="004878DA" w:rsidP="004878DA">
      <w:pPr>
        <w:pStyle w:val="Paragraphedeliste"/>
        <w:numPr>
          <w:ilvl w:val="1"/>
          <w:numId w:val="8"/>
        </w:numPr>
        <w:jc w:val="both"/>
        <w:rPr>
          <w:b/>
        </w:rPr>
      </w:pPr>
      <w:r>
        <w:rPr>
          <w:b/>
        </w:rPr>
        <w:t xml:space="preserve">Objet du marché </w:t>
      </w:r>
    </w:p>
    <w:p w14:paraId="50002309" w14:textId="15068750" w:rsidR="004878DA" w:rsidRDefault="004878DA" w:rsidP="004878DA">
      <w:pPr>
        <w:jc w:val="both"/>
      </w:pPr>
      <w:r>
        <w:t>Les stipulations du présent cahier des c</w:t>
      </w:r>
      <w:r w:rsidR="00B43A75">
        <w:t>harges</w:t>
      </w:r>
      <w:r>
        <w:t xml:space="preserve"> administratives particulières (C.C.A.P.) </w:t>
      </w:r>
      <w:r w:rsidR="00B43A75">
        <w:t>concernent les prestations de fournitures, de transport, de livraison,</w:t>
      </w:r>
      <w:r w:rsidR="002F23B2">
        <w:t xml:space="preserve"> de location, d’entretien</w:t>
      </w:r>
      <w:r w:rsidR="00493077">
        <w:t>, le suivi</w:t>
      </w:r>
      <w:r w:rsidR="002F23B2">
        <w:t xml:space="preserve"> et</w:t>
      </w:r>
      <w:r w:rsidR="00B43A75">
        <w:t xml:space="preserve"> </w:t>
      </w:r>
      <w:r w:rsidR="00493077">
        <w:t>l</w:t>
      </w:r>
      <w:r w:rsidR="00B43A75">
        <w:t>e nettoyage des vêtements de travail (Equipements de Protection Individuelle</w:t>
      </w:r>
      <w:r w:rsidR="002F23B2">
        <w:t xml:space="preserve"> haute visibilité</w:t>
      </w:r>
      <w:r w:rsidR="00B43A75">
        <w:t>)</w:t>
      </w:r>
      <w:r w:rsidR="002F23B2">
        <w:t>.</w:t>
      </w:r>
    </w:p>
    <w:p w14:paraId="304CE5C4" w14:textId="7543EDE8" w:rsidR="004878DA" w:rsidRDefault="00B43A75" w:rsidP="004878DA">
      <w:pPr>
        <w:jc w:val="both"/>
      </w:pPr>
      <w:r>
        <w:t xml:space="preserve">Les fournitures devront être livrées franco de port et d’emballage aux services techniques de la ville d’Agnetz (60600) – 715, rue Siméon Guillaume </w:t>
      </w:r>
      <w:r w:rsidR="002F23B2">
        <w:t>de la Roque</w:t>
      </w:r>
      <w:r w:rsidR="004878DA">
        <w:t xml:space="preserve"> dans le</w:t>
      </w:r>
      <w:r w:rsidR="002F23B2">
        <w:t>s conditions fixées</w:t>
      </w:r>
      <w:r w:rsidR="004878DA">
        <w:t xml:space="preserve"> cahier des clauses techniques particulières (C.C.T.P.)</w:t>
      </w:r>
      <w:r w:rsidR="008628E0">
        <w:t>.</w:t>
      </w:r>
    </w:p>
    <w:p w14:paraId="11174D59" w14:textId="183EC2C4" w:rsidR="004878DA" w:rsidRPr="004878DA" w:rsidRDefault="002F23B2" w:rsidP="004878DA">
      <w:pPr>
        <w:pStyle w:val="Paragraphedeliste"/>
        <w:numPr>
          <w:ilvl w:val="1"/>
          <w:numId w:val="8"/>
        </w:numPr>
        <w:jc w:val="both"/>
        <w:rPr>
          <w:b/>
        </w:rPr>
      </w:pPr>
      <w:r>
        <w:rPr>
          <w:b/>
        </w:rPr>
        <w:t>Composition de la consultation</w:t>
      </w:r>
    </w:p>
    <w:p w14:paraId="753525D3" w14:textId="7A64BD8E" w:rsidR="002F23B2" w:rsidRDefault="004878DA" w:rsidP="004878DA">
      <w:pPr>
        <w:jc w:val="both"/>
      </w:pPr>
      <w:r w:rsidRPr="00F973B3">
        <w:t xml:space="preserve">Le présent marché </w:t>
      </w:r>
      <w:r w:rsidR="00F973B3">
        <w:t xml:space="preserve">possède </w:t>
      </w:r>
      <w:r w:rsidR="002F23B2">
        <w:t>un lot unique :</w:t>
      </w:r>
    </w:p>
    <w:p w14:paraId="053DF000" w14:textId="713858E9" w:rsidR="002F23B2" w:rsidRDefault="002F23B2" w:rsidP="002F23B2">
      <w:pPr>
        <w:pStyle w:val="Paragraphedeliste"/>
        <w:numPr>
          <w:ilvl w:val="0"/>
          <w:numId w:val="12"/>
        </w:numPr>
        <w:jc w:val="both"/>
      </w:pPr>
      <w:r>
        <w:t>Vêtements de travail.</w:t>
      </w:r>
    </w:p>
    <w:p w14:paraId="45FF0B33" w14:textId="37A8158A" w:rsidR="004878DA" w:rsidRDefault="004878DA" w:rsidP="00F973B3">
      <w:pPr>
        <w:jc w:val="both"/>
      </w:pPr>
      <w:r w:rsidRPr="00F973B3">
        <w:t>Les variantes ne sont pas autorisées.</w:t>
      </w:r>
      <w:r>
        <w:t xml:space="preserve"> </w:t>
      </w:r>
    </w:p>
    <w:p w14:paraId="645D8262" w14:textId="77777777" w:rsidR="004878DA" w:rsidRPr="004878DA" w:rsidRDefault="004878DA" w:rsidP="004878DA">
      <w:pPr>
        <w:pStyle w:val="Paragraphedeliste"/>
        <w:numPr>
          <w:ilvl w:val="1"/>
          <w:numId w:val="8"/>
        </w:numPr>
        <w:jc w:val="both"/>
        <w:rPr>
          <w:b/>
        </w:rPr>
      </w:pPr>
      <w:r w:rsidRPr="004878DA">
        <w:rPr>
          <w:b/>
        </w:rPr>
        <w:t xml:space="preserve">Maîtrise d’ouvrage et Conduite d’opération  </w:t>
      </w:r>
    </w:p>
    <w:p w14:paraId="23A8563E" w14:textId="77777777" w:rsidR="008628E0" w:rsidRDefault="004878DA" w:rsidP="004878DA">
      <w:pPr>
        <w:jc w:val="both"/>
      </w:pPr>
      <w:r>
        <w:t>Le Maître d’ouvrage de l’opération est la Commune d’AGNETZ (60600)</w:t>
      </w:r>
      <w:r w:rsidR="008628E0">
        <w:t>.</w:t>
      </w:r>
    </w:p>
    <w:p w14:paraId="725FE827" w14:textId="1CFE8282" w:rsidR="004878DA" w:rsidRDefault="004878DA" w:rsidP="004878DA">
      <w:pPr>
        <w:jc w:val="both"/>
      </w:pPr>
      <w:r>
        <w:t>Le Conducteur de l’opération est Madame le Maire de la Commune d’AGNETZ (60600)</w:t>
      </w:r>
      <w:r w:rsidR="008628E0">
        <w:t>.</w:t>
      </w:r>
    </w:p>
    <w:p w14:paraId="14F0D82A" w14:textId="77777777" w:rsidR="004878DA" w:rsidRPr="004878DA" w:rsidRDefault="004878DA" w:rsidP="004878DA">
      <w:pPr>
        <w:pStyle w:val="Paragraphedeliste"/>
        <w:numPr>
          <w:ilvl w:val="1"/>
          <w:numId w:val="8"/>
        </w:numPr>
        <w:jc w:val="both"/>
        <w:rPr>
          <w:b/>
        </w:rPr>
      </w:pPr>
      <w:r w:rsidRPr="004878DA">
        <w:rPr>
          <w:b/>
        </w:rPr>
        <w:t xml:space="preserve">Contrôles Techniques </w:t>
      </w:r>
    </w:p>
    <w:p w14:paraId="2BE06BE9" w14:textId="042A6FBF" w:rsidR="00AA6921" w:rsidRDefault="004878DA" w:rsidP="004878DA">
      <w:pPr>
        <w:jc w:val="both"/>
      </w:pPr>
      <w:r>
        <w:t>Le Maître d</w:t>
      </w:r>
      <w:r w:rsidR="00493077">
        <w:t>’ouvrage</w:t>
      </w:r>
      <w:r>
        <w:t xml:space="preserve"> assurera le contrôle technique des prestations citées aux C.C.T.P. en parfait respect avec les règles de l’art. Les essais et contrôles complémentaires tels que stipulés par le C.C.T.P. sont à la charge des entrepreneurs. </w:t>
      </w:r>
    </w:p>
    <w:p w14:paraId="0A3A433E" w14:textId="37D00B95" w:rsidR="004878DA" w:rsidRPr="004878DA" w:rsidRDefault="004878DA" w:rsidP="004878DA">
      <w:pPr>
        <w:pStyle w:val="Paragraphedeliste"/>
        <w:numPr>
          <w:ilvl w:val="1"/>
          <w:numId w:val="8"/>
        </w:numPr>
        <w:jc w:val="both"/>
        <w:rPr>
          <w:b/>
        </w:rPr>
      </w:pPr>
      <w:r w:rsidRPr="004878DA">
        <w:rPr>
          <w:b/>
        </w:rPr>
        <w:t>Ordres de service</w:t>
      </w:r>
      <w:r w:rsidR="00493077">
        <w:rPr>
          <w:b/>
        </w:rPr>
        <w:t xml:space="preserve"> </w:t>
      </w:r>
    </w:p>
    <w:p w14:paraId="78326ACD" w14:textId="3BA278F0" w:rsidR="004878DA" w:rsidRDefault="004878DA" w:rsidP="004878DA">
      <w:pPr>
        <w:jc w:val="both"/>
      </w:pPr>
      <w:r>
        <w:t>Conformément aux dispositions de l’article 3.8 du C.C.A.G, les ordres de service seront signés par le maître d</w:t>
      </w:r>
      <w:r w:rsidR="007B78B6">
        <w:t>’Ouvrage</w:t>
      </w:r>
      <w:r>
        <w:t xml:space="preserve">. En cas d’urgence, les documents peuvent être transmis par </w:t>
      </w:r>
      <w:r w:rsidR="00493077">
        <w:t xml:space="preserve">courriel </w:t>
      </w:r>
      <w:r>
        <w:t xml:space="preserve">les jours ouvrés et pendant les heures réputées travaillées ; ils devront être confirmés par courrier pour éviter toute contestation. </w:t>
      </w:r>
    </w:p>
    <w:p w14:paraId="138F3A35" w14:textId="77777777" w:rsidR="002F23B2" w:rsidRDefault="002F23B2" w:rsidP="004878DA">
      <w:pPr>
        <w:jc w:val="both"/>
      </w:pPr>
    </w:p>
    <w:p w14:paraId="602D4247" w14:textId="77777777" w:rsidR="002F23B2" w:rsidRDefault="002F23B2" w:rsidP="004878DA">
      <w:pPr>
        <w:jc w:val="both"/>
      </w:pPr>
    </w:p>
    <w:p w14:paraId="1D753162" w14:textId="77777777" w:rsidR="002F23B2" w:rsidRDefault="002F23B2" w:rsidP="004878DA">
      <w:pPr>
        <w:jc w:val="both"/>
      </w:pPr>
    </w:p>
    <w:p w14:paraId="3D82D74C" w14:textId="77777777" w:rsidR="002F23B2" w:rsidRDefault="002F23B2" w:rsidP="004878DA">
      <w:pPr>
        <w:jc w:val="both"/>
      </w:pPr>
    </w:p>
    <w:p w14:paraId="052266A7" w14:textId="77777777" w:rsidR="00493077" w:rsidRDefault="00493077" w:rsidP="004878DA">
      <w:pPr>
        <w:jc w:val="both"/>
      </w:pPr>
    </w:p>
    <w:p w14:paraId="171517BD" w14:textId="77777777" w:rsidR="00493077" w:rsidRDefault="00493077" w:rsidP="004878DA">
      <w:pPr>
        <w:jc w:val="both"/>
      </w:pPr>
    </w:p>
    <w:p w14:paraId="5052EF7A" w14:textId="2E98AB9B" w:rsidR="004878DA" w:rsidRPr="004878DA" w:rsidRDefault="004878DA" w:rsidP="004878DA">
      <w:pPr>
        <w:jc w:val="both"/>
        <w:rPr>
          <w:b/>
        </w:rPr>
      </w:pPr>
      <w:r w:rsidRPr="004878DA">
        <w:rPr>
          <w:b/>
        </w:rPr>
        <w:lastRenderedPageBreak/>
        <w:t xml:space="preserve">ARTICLE DEUX </w:t>
      </w:r>
      <w:r w:rsidR="00493077">
        <w:rPr>
          <w:b/>
        </w:rPr>
        <w:t>– Conditions de la consultation</w:t>
      </w:r>
    </w:p>
    <w:p w14:paraId="2FEB03FC" w14:textId="33FB6F6F" w:rsidR="004878DA" w:rsidRPr="00635164" w:rsidRDefault="004878DA" w:rsidP="00635164">
      <w:pPr>
        <w:jc w:val="both"/>
        <w:rPr>
          <w:b/>
        </w:rPr>
      </w:pPr>
      <w:r w:rsidRPr="004878DA">
        <w:rPr>
          <w:b/>
        </w:rPr>
        <w:t xml:space="preserve">2.1 Pièces Constitutives du Marché Les pièces constitutives du marché sont par ordre de priorité décroissante, les suivantes : </w:t>
      </w:r>
    </w:p>
    <w:p w14:paraId="2D4CCBA8" w14:textId="0793CDE1" w:rsidR="002B51DB" w:rsidRDefault="004878DA" w:rsidP="004878DA">
      <w:pPr>
        <w:ind w:firstLine="708"/>
        <w:jc w:val="both"/>
      </w:pPr>
      <w:r>
        <w:t>-</w:t>
      </w:r>
      <w:r w:rsidR="002B51DB">
        <w:t xml:space="preserve"> Acte d’Engagement (A.E)</w:t>
      </w:r>
      <w:r w:rsidR="002F23B2">
        <w:t xml:space="preserve"> complété et signé ;</w:t>
      </w:r>
    </w:p>
    <w:p w14:paraId="6604998F" w14:textId="0D189B4A" w:rsidR="004878DA" w:rsidRDefault="002B51DB" w:rsidP="004878DA">
      <w:pPr>
        <w:ind w:firstLine="708"/>
        <w:jc w:val="both"/>
      </w:pPr>
      <w:r>
        <w:t>-</w:t>
      </w:r>
      <w:r w:rsidR="004878DA">
        <w:t xml:space="preserve"> Présent Cahier des Clauses Administratives Particulières (C.C.A.P.) </w:t>
      </w:r>
      <w:r w:rsidR="002F23B2">
        <w:t>daté et signé ;</w:t>
      </w:r>
    </w:p>
    <w:p w14:paraId="5983F9EF" w14:textId="74CFA23C" w:rsidR="004878DA" w:rsidRDefault="004878DA" w:rsidP="004878DA">
      <w:pPr>
        <w:ind w:firstLine="708"/>
        <w:jc w:val="both"/>
      </w:pPr>
      <w:r>
        <w:t xml:space="preserve">- Cahier des Clauses Techniques Particulières (C.C.T.P.) </w:t>
      </w:r>
      <w:r w:rsidR="002F23B2">
        <w:t>daté et signé ;</w:t>
      </w:r>
    </w:p>
    <w:p w14:paraId="088D2544" w14:textId="6D4175FB" w:rsidR="002F23B2" w:rsidRDefault="002F23B2" w:rsidP="002F23B2">
      <w:pPr>
        <w:ind w:firstLine="708"/>
        <w:jc w:val="both"/>
      </w:pPr>
      <w:r>
        <w:t>- Détail Quantitatif Estimatif (DQE)</w:t>
      </w:r>
      <w:r w:rsidR="00116C16">
        <w:t xml:space="preserve"> </w:t>
      </w:r>
    </w:p>
    <w:p w14:paraId="20377AFD" w14:textId="11A5BC37" w:rsidR="00DB390C" w:rsidRDefault="00635164" w:rsidP="002F23B2">
      <w:pPr>
        <w:ind w:firstLine="708"/>
        <w:jc w:val="both"/>
      </w:pPr>
      <w:r>
        <w:t>- Règlement de Consultation (R.C)</w:t>
      </w:r>
      <w:r w:rsidR="002F23B2">
        <w:t xml:space="preserve"> </w:t>
      </w:r>
    </w:p>
    <w:p w14:paraId="099111FE" w14:textId="406116F9" w:rsidR="00AD3E17" w:rsidRDefault="00AD3E17" w:rsidP="002F23B2">
      <w:pPr>
        <w:ind w:firstLine="708"/>
        <w:jc w:val="both"/>
      </w:pPr>
      <w:r>
        <w:t>- Le mémoire technique établi par le candidat</w:t>
      </w:r>
    </w:p>
    <w:p w14:paraId="3612F0F2" w14:textId="77777777" w:rsidR="008378D0" w:rsidRPr="008378D0" w:rsidRDefault="008378D0" w:rsidP="004878DA">
      <w:pPr>
        <w:jc w:val="both"/>
        <w:rPr>
          <w:b/>
        </w:rPr>
      </w:pPr>
      <w:r w:rsidRPr="008378D0">
        <w:rPr>
          <w:b/>
        </w:rPr>
        <w:t>2.2 Pièces Générales</w:t>
      </w:r>
    </w:p>
    <w:p w14:paraId="0FB23A6D" w14:textId="77777777" w:rsidR="008378D0" w:rsidRDefault="004878DA" w:rsidP="004878DA">
      <w:pPr>
        <w:jc w:val="both"/>
      </w:pPr>
      <w:r>
        <w:t>Les documents applicables sont ceux en vigueur au premier jour d</w:t>
      </w:r>
      <w:r w:rsidR="008378D0">
        <w:t>u mois d’établissement des prix :</w:t>
      </w:r>
    </w:p>
    <w:p w14:paraId="43781827" w14:textId="1A5BB397" w:rsidR="008378D0" w:rsidRDefault="004878DA" w:rsidP="008378D0">
      <w:pPr>
        <w:ind w:firstLine="708"/>
        <w:jc w:val="both"/>
      </w:pPr>
      <w:r>
        <w:t xml:space="preserve"> - le Cahier des Clauses Techniques Générales (C.C.T.G.) applicables aux marchés publics de </w:t>
      </w:r>
      <w:r w:rsidR="002F23B2">
        <w:t>fourniture</w:t>
      </w:r>
      <w:r>
        <w:t xml:space="preserve"> </w:t>
      </w:r>
    </w:p>
    <w:p w14:paraId="71435E9D" w14:textId="6D794D79" w:rsidR="008378D0" w:rsidRDefault="004878DA" w:rsidP="008378D0">
      <w:pPr>
        <w:ind w:firstLine="708"/>
        <w:jc w:val="both"/>
      </w:pPr>
      <w:r>
        <w:t xml:space="preserve">- le Cahier des Clauses Administratives Générales (C.C.A.G.) applicables aux marchés publics </w:t>
      </w:r>
      <w:r w:rsidR="002F23B2">
        <w:t>de fourniture.</w:t>
      </w:r>
      <w:r>
        <w:t xml:space="preserve"> </w:t>
      </w:r>
    </w:p>
    <w:p w14:paraId="53DB777B" w14:textId="4E7F393C" w:rsidR="008378D0" w:rsidRDefault="004878DA" w:rsidP="00A424A1">
      <w:pPr>
        <w:ind w:firstLine="708"/>
        <w:jc w:val="both"/>
      </w:pPr>
      <w:r>
        <w:t xml:space="preserve">- </w:t>
      </w:r>
      <w:r w:rsidR="002F23B2">
        <w:t>les normes françaises et européennes en vigueur</w:t>
      </w:r>
      <w:r w:rsidR="00A424A1">
        <w:t>.</w:t>
      </w:r>
    </w:p>
    <w:p w14:paraId="1E2F8FCE" w14:textId="77777777" w:rsidR="00A21D39" w:rsidRDefault="00A21D39" w:rsidP="008378D0">
      <w:pPr>
        <w:jc w:val="both"/>
      </w:pPr>
    </w:p>
    <w:p w14:paraId="258399B4" w14:textId="2E918089" w:rsidR="008378D0" w:rsidRPr="00C90EEE" w:rsidRDefault="004878DA" w:rsidP="008378D0">
      <w:pPr>
        <w:jc w:val="both"/>
        <w:rPr>
          <w:b/>
        </w:rPr>
      </w:pPr>
      <w:r w:rsidRPr="008378D0">
        <w:rPr>
          <w:b/>
        </w:rPr>
        <w:t xml:space="preserve">ARTICLE TROIS </w:t>
      </w:r>
      <w:r w:rsidR="00493077">
        <w:rPr>
          <w:b/>
        </w:rPr>
        <w:t xml:space="preserve">- </w:t>
      </w:r>
      <w:r w:rsidRPr="008378D0">
        <w:rPr>
          <w:b/>
        </w:rPr>
        <w:t>Indemnisation</w:t>
      </w:r>
      <w:r>
        <w:t xml:space="preserve"> </w:t>
      </w:r>
    </w:p>
    <w:p w14:paraId="3D84DDE2" w14:textId="21AC91AD" w:rsidR="00DB390C" w:rsidRDefault="004878DA" w:rsidP="008378D0">
      <w:pPr>
        <w:jc w:val="both"/>
      </w:pPr>
      <w:r>
        <w:t xml:space="preserve">Les entreprises non retenues ne pourront prétendre à aucune indemnité concernant l’étude de leur offre. </w:t>
      </w:r>
    </w:p>
    <w:p w14:paraId="502E393C" w14:textId="65C6F695" w:rsidR="008378D0" w:rsidRPr="008378D0" w:rsidRDefault="004878DA" w:rsidP="008378D0">
      <w:pPr>
        <w:jc w:val="both"/>
        <w:rPr>
          <w:b/>
        </w:rPr>
      </w:pPr>
      <w:r w:rsidRPr="008378D0">
        <w:rPr>
          <w:b/>
        </w:rPr>
        <w:t xml:space="preserve">ARTICLE QUATRE </w:t>
      </w:r>
      <w:r w:rsidR="00493077">
        <w:rPr>
          <w:b/>
        </w:rPr>
        <w:t xml:space="preserve">- </w:t>
      </w:r>
      <w:r w:rsidRPr="008378D0">
        <w:rPr>
          <w:b/>
        </w:rPr>
        <w:t>Prix</w:t>
      </w:r>
      <w:r w:rsidR="00AD3E17">
        <w:rPr>
          <w:b/>
        </w:rPr>
        <w:t>, avances et pénalités</w:t>
      </w:r>
    </w:p>
    <w:p w14:paraId="18569E52" w14:textId="77777777" w:rsidR="008378D0" w:rsidRPr="008378D0" w:rsidRDefault="004878DA" w:rsidP="008378D0">
      <w:pPr>
        <w:jc w:val="both"/>
        <w:rPr>
          <w:b/>
        </w:rPr>
      </w:pPr>
      <w:r w:rsidRPr="008378D0">
        <w:rPr>
          <w:b/>
        </w:rPr>
        <w:t xml:space="preserve">4.1 Répartition des paiements </w:t>
      </w:r>
    </w:p>
    <w:p w14:paraId="4E047C5E" w14:textId="47307841" w:rsidR="008378D0" w:rsidRDefault="004878DA" w:rsidP="008378D0">
      <w:pPr>
        <w:jc w:val="both"/>
      </w:pPr>
      <w:r>
        <w:t xml:space="preserve">L’acte d’engagement indique s’il s’agit d’un prestataire unique (et ses sous-traitants) qui seront payés directement. </w:t>
      </w:r>
    </w:p>
    <w:p w14:paraId="4650E29F" w14:textId="77777777" w:rsidR="00AD3E17" w:rsidRDefault="00AD3E17" w:rsidP="00AD3E17">
      <w:pPr>
        <w:jc w:val="both"/>
        <w:rPr>
          <w:b/>
        </w:rPr>
      </w:pPr>
      <w:r w:rsidRPr="008378D0">
        <w:rPr>
          <w:b/>
        </w:rPr>
        <w:t>4.</w:t>
      </w:r>
      <w:r>
        <w:rPr>
          <w:b/>
        </w:rPr>
        <w:t>2</w:t>
      </w:r>
      <w:r w:rsidRPr="008378D0">
        <w:rPr>
          <w:b/>
        </w:rPr>
        <w:t xml:space="preserve"> </w:t>
      </w:r>
      <w:r>
        <w:rPr>
          <w:b/>
        </w:rPr>
        <w:t>Complément de prix</w:t>
      </w:r>
    </w:p>
    <w:p w14:paraId="1EBB925C" w14:textId="512D8B6C" w:rsidR="00AD3E17" w:rsidRPr="00AD3E17" w:rsidRDefault="00AD3E17" w:rsidP="008378D0">
      <w:pPr>
        <w:jc w:val="both"/>
        <w:rPr>
          <w:bCs/>
        </w:rPr>
      </w:pPr>
      <w:r w:rsidRPr="00AD3E17">
        <w:rPr>
          <w:bCs/>
        </w:rPr>
        <w:t xml:space="preserve">Dans le cas d’une restitution prématurée d’articles, le prestataire présentera dans son offre si un amortissement financier de valeur résiduelle de ces articles est appliqué, si oui, il en détaillera les modalités financières. Ce détail devra figurer dans le projet de contrat du prestataire de services.  </w:t>
      </w:r>
    </w:p>
    <w:p w14:paraId="76802176" w14:textId="77777777" w:rsidR="008378D0" w:rsidRPr="008378D0" w:rsidRDefault="008378D0" w:rsidP="008378D0">
      <w:pPr>
        <w:jc w:val="both"/>
        <w:rPr>
          <w:b/>
        </w:rPr>
      </w:pPr>
      <w:r w:rsidRPr="008378D0">
        <w:rPr>
          <w:b/>
        </w:rPr>
        <w:t xml:space="preserve">4.3 T.V.A. </w:t>
      </w:r>
    </w:p>
    <w:p w14:paraId="250F93E4" w14:textId="5B4A9975" w:rsidR="0001666F" w:rsidRDefault="004878DA" w:rsidP="008378D0">
      <w:pPr>
        <w:jc w:val="both"/>
      </w:pPr>
      <w:r>
        <w:t xml:space="preserve">Tous les prix du présent marché sont exprimés hors T.V.A. Le taux de TVA appliqué est celui en vigueur à la date d’établissement des pièces de mandatement. Ces montants sont éventuellement rectifiés en vue de l’établissement du décompte général en appliquant les taux de T.V.A. en vigueur lors des encaissements. </w:t>
      </w:r>
    </w:p>
    <w:p w14:paraId="5766CD85" w14:textId="77777777" w:rsidR="008378D0" w:rsidRPr="008378D0" w:rsidRDefault="004878DA" w:rsidP="008378D0">
      <w:pPr>
        <w:jc w:val="both"/>
        <w:rPr>
          <w:b/>
        </w:rPr>
      </w:pPr>
      <w:r w:rsidRPr="008378D0">
        <w:rPr>
          <w:b/>
        </w:rPr>
        <w:t>4.4 Variation des prix</w:t>
      </w:r>
    </w:p>
    <w:p w14:paraId="5416CBCB" w14:textId="5ED6D99B" w:rsidR="00D2467C" w:rsidRDefault="004878DA" w:rsidP="00D2467C">
      <w:pPr>
        <w:jc w:val="both"/>
      </w:pPr>
      <w:r>
        <w:t>Le marché est conclu à prix unitaires</w:t>
      </w:r>
      <w:r w:rsidR="00CC4EEB">
        <w:t>.</w:t>
      </w:r>
    </w:p>
    <w:p w14:paraId="50A32A9A" w14:textId="089683D0" w:rsidR="00CC4EEB" w:rsidRDefault="00CC4EEB" w:rsidP="00D2467C">
      <w:pPr>
        <w:jc w:val="both"/>
      </w:pPr>
      <w:r>
        <w:lastRenderedPageBreak/>
        <w:t>L’ajustement des prix par rapport au tarif se fera une fois par an, au début de chaque année. Le titulaire du marché s’engage à faire parvenir à l’administration contractante, par lettre recommandée avec accusé de réception, son nouveau tarif et bordereau avec un préavis de 1 mois avant la date prévue pour l’application de l’ajustement. L’ajustement fera l’objet d’un avenant qui sera signé par les deux parties.</w:t>
      </w:r>
    </w:p>
    <w:p w14:paraId="5ECC616D" w14:textId="77777777" w:rsidR="00AD3E17" w:rsidRDefault="00AD3E17" w:rsidP="00D2467C">
      <w:pPr>
        <w:jc w:val="both"/>
      </w:pPr>
    </w:p>
    <w:p w14:paraId="345FE590" w14:textId="77777777" w:rsidR="008378D0" w:rsidRPr="008378D0" w:rsidRDefault="008378D0" w:rsidP="008378D0">
      <w:pPr>
        <w:jc w:val="both"/>
        <w:rPr>
          <w:b/>
        </w:rPr>
      </w:pPr>
      <w:r w:rsidRPr="008378D0">
        <w:rPr>
          <w:b/>
        </w:rPr>
        <w:t>4.5 Règlement des comptes</w:t>
      </w:r>
    </w:p>
    <w:p w14:paraId="5DF69C74" w14:textId="77777777" w:rsidR="008378D0" w:rsidRPr="008378D0" w:rsidRDefault="004878DA" w:rsidP="008378D0">
      <w:pPr>
        <w:jc w:val="both"/>
        <w:rPr>
          <w:b/>
        </w:rPr>
      </w:pPr>
      <w:r w:rsidRPr="008378D0">
        <w:rPr>
          <w:b/>
        </w:rPr>
        <w:t xml:space="preserve">4.5.1 </w:t>
      </w:r>
      <w:r w:rsidR="008378D0" w:rsidRPr="008378D0">
        <w:rPr>
          <w:b/>
        </w:rPr>
        <w:t>Prestations objet du marché :</w:t>
      </w:r>
    </w:p>
    <w:p w14:paraId="0F6C489C" w14:textId="339BF017" w:rsidR="00976B41" w:rsidRDefault="004878DA" w:rsidP="00976B41">
      <w:pPr>
        <w:jc w:val="both"/>
      </w:pPr>
      <w:r>
        <w:t xml:space="preserve">Les </w:t>
      </w:r>
      <w:r w:rsidR="00AD3E17">
        <w:t>prestations</w:t>
      </w:r>
      <w:r>
        <w:t xml:space="preserve"> faisant l’objet du marché seront réglé</w:t>
      </w:r>
      <w:r w:rsidR="00AD3E17">
        <w:t>e</w:t>
      </w:r>
      <w:r>
        <w:t xml:space="preserve">s par application des prix unitaires dont le libellé est donné dans </w:t>
      </w:r>
      <w:r w:rsidR="00CC4EEB">
        <w:t>le C.C.T.P.</w:t>
      </w:r>
    </w:p>
    <w:p w14:paraId="6AE047C4" w14:textId="280C9C21" w:rsidR="00AD3E17" w:rsidRDefault="00AD3E17" w:rsidP="00AD3E17">
      <w:pPr>
        <w:jc w:val="both"/>
        <w:rPr>
          <w:b/>
        </w:rPr>
      </w:pPr>
      <w:r w:rsidRPr="008378D0">
        <w:rPr>
          <w:b/>
        </w:rPr>
        <w:t>4.</w:t>
      </w:r>
      <w:r>
        <w:rPr>
          <w:b/>
        </w:rPr>
        <w:t>6</w:t>
      </w:r>
      <w:r w:rsidRPr="008378D0">
        <w:rPr>
          <w:b/>
        </w:rPr>
        <w:t xml:space="preserve"> </w:t>
      </w:r>
      <w:r>
        <w:rPr>
          <w:b/>
        </w:rPr>
        <w:t>Avances et Garanties financières</w:t>
      </w:r>
    </w:p>
    <w:p w14:paraId="39A6F3E3" w14:textId="34FFC8C2" w:rsidR="00AD3E17" w:rsidRDefault="00AD3E17" w:rsidP="00AD3E17">
      <w:pPr>
        <w:jc w:val="both"/>
        <w:rPr>
          <w:bCs/>
        </w:rPr>
      </w:pPr>
      <w:r>
        <w:rPr>
          <w:bCs/>
        </w:rPr>
        <w:t>Aucune clause de cautionnement ni de garantie financière ne sera appliquée.</w:t>
      </w:r>
    </w:p>
    <w:p w14:paraId="155B461D" w14:textId="0F7CF307" w:rsidR="00976B41" w:rsidRPr="00976B41" w:rsidRDefault="004878DA" w:rsidP="00976B41">
      <w:pPr>
        <w:jc w:val="both"/>
        <w:rPr>
          <w:b/>
        </w:rPr>
      </w:pPr>
      <w:r w:rsidRPr="00976B41">
        <w:rPr>
          <w:b/>
        </w:rPr>
        <w:t xml:space="preserve">ARTICLE </w:t>
      </w:r>
      <w:r w:rsidR="00CC4EEB">
        <w:rPr>
          <w:b/>
        </w:rPr>
        <w:t xml:space="preserve">CINQ </w:t>
      </w:r>
      <w:r w:rsidR="00CC4EEB" w:rsidRPr="00976B41">
        <w:rPr>
          <w:b/>
        </w:rPr>
        <w:t>-</w:t>
      </w:r>
      <w:r w:rsidR="00CC4EEB">
        <w:rPr>
          <w:b/>
        </w:rPr>
        <w:t xml:space="preserve"> Constatations de l’exécution des prestations garanties</w:t>
      </w:r>
    </w:p>
    <w:p w14:paraId="582544DB" w14:textId="50032FCC" w:rsidR="00C2336B" w:rsidRDefault="00CC4EEB" w:rsidP="00976B41">
      <w:pPr>
        <w:jc w:val="both"/>
        <w:rPr>
          <w:b/>
          <w:bCs/>
        </w:rPr>
      </w:pPr>
      <w:r w:rsidRPr="00CC4EEB">
        <w:rPr>
          <w:b/>
          <w:bCs/>
        </w:rPr>
        <w:t xml:space="preserve">5-1 </w:t>
      </w:r>
      <w:r>
        <w:rPr>
          <w:b/>
          <w:bCs/>
        </w:rPr>
        <w:t>Vérifications</w:t>
      </w:r>
    </w:p>
    <w:p w14:paraId="2A5F3E28" w14:textId="47764EBA" w:rsidR="00CC4EEB" w:rsidRDefault="00CC4EEB" w:rsidP="00976B41">
      <w:pPr>
        <w:jc w:val="both"/>
      </w:pPr>
      <w:r>
        <w:t xml:space="preserve">Les vérifications quantitatives et qualitatives sont effectuées par la personne responsable du marché habilitée à cet effet au moment de la livraison. </w:t>
      </w:r>
    </w:p>
    <w:p w14:paraId="2824F459" w14:textId="16BEDA9B" w:rsidR="00CC4EEB" w:rsidRDefault="00CC4EEB" w:rsidP="00976B41">
      <w:pPr>
        <w:jc w:val="both"/>
      </w:pPr>
      <w:r>
        <w:t>En cas d’anomalie ou de défectuosité, le titulaire disposera d’un délai de 15 jours pour reprendre à ses frais les matériels litigieux et ne pourra prétendre à aucun dédommagement.</w:t>
      </w:r>
    </w:p>
    <w:p w14:paraId="47E46B74" w14:textId="77777777" w:rsidR="00CC4EEB" w:rsidRDefault="00CC4EEB" w:rsidP="00976B41">
      <w:pPr>
        <w:jc w:val="both"/>
        <w:rPr>
          <w:b/>
          <w:bCs/>
        </w:rPr>
      </w:pPr>
    </w:p>
    <w:p w14:paraId="5F5A88E2" w14:textId="77777777" w:rsidR="00CC4EEB" w:rsidRDefault="00CC4EEB" w:rsidP="00976B41">
      <w:pPr>
        <w:jc w:val="both"/>
        <w:rPr>
          <w:b/>
          <w:bCs/>
        </w:rPr>
      </w:pPr>
    </w:p>
    <w:p w14:paraId="3A8DCF8F" w14:textId="20FB2F83" w:rsidR="00C2336B" w:rsidRDefault="004878DA" w:rsidP="00976B41">
      <w:pPr>
        <w:jc w:val="both"/>
      </w:pPr>
      <w:r>
        <w:t xml:space="preserve">Lu et accepté </w:t>
      </w:r>
      <w:r w:rsidR="00C2336B">
        <w:t>p</w:t>
      </w:r>
      <w:r>
        <w:t>ar l’entrepreneur soussigné,</w:t>
      </w:r>
    </w:p>
    <w:p w14:paraId="6D606CED" w14:textId="77777777" w:rsidR="00C2336B" w:rsidRDefault="00C2336B" w:rsidP="00976B41">
      <w:pPr>
        <w:jc w:val="both"/>
      </w:pPr>
      <w:r>
        <w:t>A …………………</w:t>
      </w:r>
      <w:proofErr w:type="gramStart"/>
      <w:r>
        <w:t>…….</w:t>
      </w:r>
      <w:proofErr w:type="gramEnd"/>
      <w:r>
        <w:t>.………, le……………………………………</w:t>
      </w:r>
    </w:p>
    <w:p w14:paraId="273FA0FB" w14:textId="77777777" w:rsidR="00C2336B" w:rsidRDefault="00C2336B" w:rsidP="00976B41">
      <w:pPr>
        <w:jc w:val="both"/>
      </w:pPr>
    </w:p>
    <w:p w14:paraId="4F0F91C7" w14:textId="77777777" w:rsidR="00C2336B" w:rsidRDefault="00C2336B" w:rsidP="00976B41">
      <w:pPr>
        <w:jc w:val="both"/>
      </w:pPr>
    </w:p>
    <w:p w14:paraId="23585BE8" w14:textId="77777777" w:rsidR="00C2336B" w:rsidRDefault="00C2336B" w:rsidP="00976B41">
      <w:pPr>
        <w:jc w:val="both"/>
      </w:pPr>
    </w:p>
    <w:p w14:paraId="0FCA9A3E" w14:textId="77777777" w:rsidR="00C2336B" w:rsidRDefault="00C2336B" w:rsidP="00976B41">
      <w:pPr>
        <w:jc w:val="both"/>
      </w:pPr>
    </w:p>
    <w:p w14:paraId="6A8BF085" w14:textId="77777777" w:rsidR="00446666" w:rsidRPr="00404A63" w:rsidRDefault="004878DA" w:rsidP="00976B41">
      <w:pPr>
        <w:jc w:val="both"/>
      </w:pPr>
      <w:r>
        <w:t xml:space="preserve"> Le Maître d’Ouvrage soussigné, A …………………</w:t>
      </w:r>
      <w:proofErr w:type="gramStart"/>
      <w:r>
        <w:t>…….</w:t>
      </w:r>
      <w:proofErr w:type="gramEnd"/>
      <w:r>
        <w:t>.………</w:t>
      </w:r>
      <w:r w:rsidR="00C2336B">
        <w:t>, le………………………………………</w:t>
      </w:r>
    </w:p>
    <w:sectPr w:rsidR="00446666" w:rsidRPr="00404A63" w:rsidSect="00FF037B">
      <w:footerReference w:type="default" r:id="rId9"/>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6FD03" w14:textId="77777777" w:rsidR="009D2487" w:rsidRDefault="009D2487" w:rsidP="00E811EE">
      <w:pPr>
        <w:spacing w:after="0" w:line="240" w:lineRule="auto"/>
      </w:pPr>
      <w:r>
        <w:separator/>
      </w:r>
    </w:p>
  </w:endnote>
  <w:endnote w:type="continuationSeparator" w:id="0">
    <w:p w14:paraId="774029E0" w14:textId="77777777" w:rsidR="009D2487" w:rsidRDefault="009D2487" w:rsidP="00E81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DBFB8" w14:textId="77777777" w:rsidR="00F86F9D" w:rsidRDefault="00F86F9D" w:rsidP="00F86F9D">
    <w:pPr>
      <w:pStyle w:val="Pieddepage"/>
      <w:pBdr>
        <w:top w:val="thinThickSmallGap" w:sz="24" w:space="1" w:color="823B0B" w:themeColor="accent2" w:themeShade="7F"/>
      </w:pBdr>
      <w:rPr>
        <w:rFonts w:asciiTheme="majorHAnsi" w:eastAsiaTheme="majorEastAsia" w:hAnsiTheme="majorHAnsi" w:cstheme="majorBidi"/>
      </w:rPr>
    </w:pPr>
    <w:r>
      <w:rPr>
        <w:rFonts w:asciiTheme="majorHAnsi" w:eastAsiaTheme="majorEastAsia" w:hAnsiTheme="majorHAnsi" w:cstheme="majorBidi"/>
      </w:rPr>
      <w:t>Commune d’AGNETZ - CAHIER DES CLAUSES ADMINISTRATIVES PARTICULIERES</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PAGE   \* MERGEFORMAT</w:instrText>
    </w:r>
    <w:r>
      <w:rPr>
        <w:rFonts w:eastAsiaTheme="minorEastAsia"/>
      </w:rPr>
      <w:fldChar w:fldCharType="separate"/>
    </w:r>
    <w:r>
      <w:rPr>
        <w:rFonts w:eastAsiaTheme="minorEastAsia"/>
      </w:rPr>
      <w:t>1</w:t>
    </w:r>
    <w:r>
      <w:rPr>
        <w:rFonts w:asciiTheme="majorHAnsi" w:eastAsiaTheme="majorEastAsia" w:hAnsiTheme="majorHAnsi" w:cstheme="majorBidi"/>
      </w:rPr>
      <w:fldChar w:fldCharType="end"/>
    </w:r>
  </w:p>
  <w:p w14:paraId="761D9956" w14:textId="77777777" w:rsidR="00F86F9D" w:rsidRDefault="00F86F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92249" w14:textId="77777777" w:rsidR="009D2487" w:rsidRDefault="009D2487" w:rsidP="00E811EE">
      <w:pPr>
        <w:spacing w:after="0" w:line="240" w:lineRule="auto"/>
      </w:pPr>
      <w:r>
        <w:separator/>
      </w:r>
    </w:p>
  </w:footnote>
  <w:footnote w:type="continuationSeparator" w:id="0">
    <w:p w14:paraId="540EB953" w14:textId="77777777" w:rsidR="009D2487" w:rsidRDefault="009D2487" w:rsidP="00E811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074DE"/>
    <w:multiLevelType w:val="multilevel"/>
    <w:tmpl w:val="FBA0ECA4"/>
    <w:lvl w:ilvl="0">
      <w:start w:val="1"/>
      <w:numFmt w:val="decimal"/>
      <w:suff w:val="space"/>
      <w:lvlText w:val="CHAPITRE %1"/>
      <w:lvlJc w:val="left"/>
      <w:pPr>
        <w:ind w:left="432" w:hanging="432"/>
      </w:pPr>
      <w:rPr>
        <w:rFonts w:cs="Times New Roman"/>
      </w:rPr>
    </w:lvl>
    <w:lvl w:ilvl="1">
      <w:start w:val="1"/>
      <w:numFmt w:val="decimal"/>
      <w:suff w:val="space"/>
      <w:lvlText w:val="%1.%2"/>
      <w:lvlJc w:val="left"/>
      <w:pPr>
        <w:ind w:left="576" w:hanging="576"/>
      </w:pPr>
      <w:rPr>
        <w:rFonts w:cs="Times New Roman"/>
      </w:rPr>
    </w:lvl>
    <w:lvl w:ilvl="2">
      <w:start w:val="1"/>
      <w:numFmt w:val="decimal"/>
      <w:suff w:val="space"/>
      <w:lvlText w:val="%1.%2.%3"/>
      <w:lvlJc w:val="left"/>
      <w:pPr>
        <w:ind w:left="720" w:hanging="720"/>
      </w:pPr>
      <w:rPr>
        <w:rFonts w:cs="Times New Roman"/>
      </w:rPr>
    </w:lvl>
    <w:lvl w:ilvl="3">
      <w:start w:val="1"/>
      <w:numFmt w:val="decimal"/>
      <w:suff w:val="space"/>
      <w:lvlText w:val="%1.%2.%3.%4"/>
      <w:lvlJc w:val="left"/>
      <w:pPr>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9204463"/>
    <w:multiLevelType w:val="hybridMultilevel"/>
    <w:tmpl w:val="6D82A9AC"/>
    <w:lvl w:ilvl="0" w:tplc="41A267C6">
      <w:start w:val="5"/>
      <w:numFmt w:val="bullet"/>
      <w:lvlText w:val="-"/>
      <w:lvlJc w:val="left"/>
      <w:pPr>
        <w:tabs>
          <w:tab w:val="num" w:pos="930"/>
        </w:tabs>
        <w:ind w:left="930" w:hanging="360"/>
      </w:pPr>
      <w:rPr>
        <w:rFonts w:ascii="Arial" w:eastAsia="Arial Unicode MS" w:hAnsi="Arial" w:cs="Arial" w:hint="default"/>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tentative="1">
      <w:start w:val="1"/>
      <w:numFmt w:val="bullet"/>
      <w:lvlText w:val=""/>
      <w:lvlJc w:val="left"/>
      <w:pPr>
        <w:tabs>
          <w:tab w:val="num" w:pos="2370"/>
        </w:tabs>
        <w:ind w:left="2370" w:hanging="360"/>
      </w:pPr>
      <w:rPr>
        <w:rFonts w:ascii="Wingdings" w:hAnsi="Wingdings" w:hint="default"/>
      </w:rPr>
    </w:lvl>
    <w:lvl w:ilvl="3" w:tplc="040C0001" w:tentative="1">
      <w:start w:val="1"/>
      <w:numFmt w:val="bullet"/>
      <w:lvlText w:val=""/>
      <w:lvlJc w:val="left"/>
      <w:pPr>
        <w:tabs>
          <w:tab w:val="num" w:pos="3090"/>
        </w:tabs>
        <w:ind w:left="3090" w:hanging="360"/>
      </w:pPr>
      <w:rPr>
        <w:rFonts w:ascii="Symbol" w:hAnsi="Symbol" w:hint="default"/>
      </w:rPr>
    </w:lvl>
    <w:lvl w:ilvl="4" w:tplc="040C0003" w:tentative="1">
      <w:start w:val="1"/>
      <w:numFmt w:val="bullet"/>
      <w:lvlText w:val="o"/>
      <w:lvlJc w:val="left"/>
      <w:pPr>
        <w:tabs>
          <w:tab w:val="num" w:pos="3810"/>
        </w:tabs>
        <w:ind w:left="3810" w:hanging="360"/>
      </w:pPr>
      <w:rPr>
        <w:rFonts w:ascii="Courier New" w:hAnsi="Courier New" w:cs="Courier New" w:hint="default"/>
      </w:rPr>
    </w:lvl>
    <w:lvl w:ilvl="5" w:tplc="040C0005" w:tentative="1">
      <w:start w:val="1"/>
      <w:numFmt w:val="bullet"/>
      <w:lvlText w:val=""/>
      <w:lvlJc w:val="left"/>
      <w:pPr>
        <w:tabs>
          <w:tab w:val="num" w:pos="4530"/>
        </w:tabs>
        <w:ind w:left="4530" w:hanging="360"/>
      </w:pPr>
      <w:rPr>
        <w:rFonts w:ascii="Wingdings" w:hAnsi="Wingdings" w:hint="default"/>
      </w:rPr>
    </w:lvl>
    <w:lvl w:ilvl="6" w:tplc="040C0001" w:tentative="1">
      <w:start w:val="1"/>
      <w:numFmt w:val="bullet"/>
      <w:lvlText w:val=""/>
      <w:lvlJc w:val="left"/>
      <w:pPr>
        <w:tabs>
          <w:tab w:val="num" w:pos="5250"/>
        </w:tabs>
        <w:ind w:left="5250" w:hanging="360"/>
      </w:pPr>
      <w:rPr>
        <w:rFonts w:ascii="Symbol" w:hAnsi="Symbol" w:hint="default"/>
      </w:rPr>
    </w:lvl>
    <w:lvl w:ilvl="7" w:tplc="040C0003" w:tentative="1">
      <w:start w:val="1"/>
      <w:numFmt w:val="bullet"/>
      <w:lvlText w:val="o"/>
      <w:lvlJc w:val="left"/>
      <w:pPr>
        <w:tabs>
          <w:tab w:val="num" w:pos="5970"/>
        </w:tabs>
        <w:ind w:left="5970" w:hanging="360"/>
      </w:pPr>
      <w:rPr>
        <w:rFonts w:ascii="Courier New" w:hAnsi="Courier New" w:cs="Courier New" w:hint="default"/>
      </w:rPr>
    </w:lvl>
    <w:lvl w:ilvl="8" w:tplc="040C0005" w:tentative="1">
      <w:start w:val="1"/>
      <w:numFmt w:val="bullet"/>
      <w:lvlText w:val=""/>
      <w:lvlJc w:val="left"/>
      <w:pPr>
        <w:tabs>
          <w:tab w:val="num" w:pos="6690"/>
        </w:tabs>
        <w:ind w:left="6690" w:hanging="360"/>
      </w:pPr>
      <w:rPr>
        <w:rFonts w:ascii="Wingdings" w:hAnsi="Wingdings" w:hint="default"/>
      </w:rPr>
    </w:lvl>
  </w:abstractNum>
  <w:abstractNum w:abstractNumId="2" w15:restartNumberingAfterBreak="0">
    <w:nsid w:val="0BBC4B25"/>
    <w:multiLevelType w:val="hybridMultilevel"/>
    <w:tmpl w:val="876CA2E0"/>
    <w:lvl w:ilvl="0" w:tplc="79203BCC">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22737E"/>
    <w:multiLevelType w:val="hybridMultilevel"/>
    <w:tmpl w:val="44A254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235C66"/>
    <w:multiLevelType w:val="hybridMultilevel"/>
    <w:tmpl w:val="D190015E"/>
    <w:lvl w:ilvl="0" w:tplc="3168CF3C">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 w15:restartNumberingAfterBreak="0">
    <w:nsid w:val="1E1666CC"/>
    <w:multiLevelType w:val="hybridMultilevel"/>
    <w:tmpl w:val="EAC42112"/>
    <w:lvl w:ilvl="0" w:tplc="194E4B08">
      <w:start w:val="30"/>
      <w:numFmt w:val="bullet"/>
      <w:lvlText w:val="-"/>
      <w:lvlJc w:val="left"/>
      <w:pPr>
        <w:ind w:left="720" w:hanging="360"/>
      </w:pPr>
      <w:rPr>
        <w:rFonts w:ascii="Algerian" w:eastAsiaTheme="minorHAnsi" w:hAnsi="Algeria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CE01C6"/>
    <w:multiLevelType w:val="hybridMultilevel"/>
    <w:tmpl w:val="5456C898"/>
    <w:lvl w:ilvl="0" w:tplc="B77A54CA">
      <w:start w:val="495"/>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8E1143"/>
    <w:multiLevelType w:val="hybridMultilevel"/>
    <w:tmpl w:val="9322F57E"/>
    <w:lvl w:ilvl="0" w:tplc="8122931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E54EF1"/>
    <w:multiLevelType w:val="hybridMultilevel"/>
    <w:tmpl w:val="24D2F802"/>
    <w:lvl w:ilvl="0" w:tplc="76F0767E">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C541A5"/>
    <w:multiLevelType w:val="hybridMultilevel"/>
    <w:tmpl w:val="2696A2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FA2661A"/>
    <w:multiLevelType w:val="multilevel"/>
    <w:tmpl w:val="9A368D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7816491B"/>
    <w:multiLevelType w:val="hybridMultilevel"/>
    <w:tmpl w:val="8C26346A"/>
    <w:lvl w:ilvl="0" w:tplc="E8884064">
      <w:start w:val="495"/>
      <w:numFmt w:val="decimal"/>
      <w:lvlText w:val="%1"/>
      <w:lvlJc w:val="left"/>
      <w:pPr>
        <w:ind w:left="900" w:hanging="540"/>
      </w:pPr>
      <w:rPr>
        <w:rFonts w:hint="default"/>
        <w:sz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3614960">
    <w:abstractNumId w:val="9"/>
  </w:num>
  <w:num w:numId="2" w16cid:durableId="1899627588">
    <w:abstractNumId w:val="0"/>
  </w:num>
  <w:num w:numId="3" w16cid:durableId="1719864351">
    <w:abstractNumId w:val="6"/>
  </w:num>
  <w:num w:numId="4" w16cid:durableId="1493371942">
    <w:abstractNumId w:val="11"/>
  </w:num>
  <w:num w:numId="5" w16cid:durableId="1548641738">
    <w:abstractNumId w:val="5"/>
  </w:num>
  <w:num w:numId="6" w16cid:durableId="201288995">
    <w:abstractNumId w:val="1"/>
  </w:num>
  <w:num w:numId="7" w16cid:durableId="920412938">
    <w:abstractNumId w:val="3"/>
  </w:num>
  <w:num w:numId="8" w16cid:durableId="295378691">
    <w:abstractNumId w:val="10"/>
  </w:num>
  <w:num w:numId="9" w16cid:durableId="1615136376">
    <w:abstractNumId w:val="2"/>
  </w:num>
  <w:num w:numId="10" w16cid:durableId="161900775">
    <w:abstractNumId w:val="8"/>
  </w:num>
  <w:num w:numId="11" w16cid:durableId="68577301">
    <w:abstractNumId w:val="7"/>
  </w:num>
  <w:num w:numId="12" w16cid:durableId="249919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037B"/>
    <w:rsid w:val="0000280D"/>
    <w:rsid w:val="0001666F"/>
    <w:rsid w:val="00022045"/>
    <w:rsid w:val="00036233"/>
    <w:rsid w:val="0005483D"/>
    <w:rsid w:val="00090374"/>
    <w:rsid w:val="000A589D"/>
    <w:rsid w:val="001111DB"/>
    <w:rsid w:val="00116C16"/>
    <w:rsid w:val="001621EA"/>
    <w:rsid w:val="00186201"/>
    <w:rsid w:val="0019713B"/>
    <w:rsid w:val="001E320A"/>
    <w:rsid w:val="001F3025"/>
    <w:rsid w:val="00216B90"/>
    <w:rsid w:val="00227AD6"/>
    <w:rsid w:val="002643E2"/>
    <w:rsid w:val="002A074A"/>
    <w:rsid w:val="002A15DE"/>
    <w:rsid w:val="002B51DB"/>
    <w:rsid w:val="002D513C"/>
    <w:rsid w:val="002E6199"/>
    <w:rsid w:val="002F23B2"/>
    <w:rsid w:val="003036C8"/>
    <w:rsid w:val="00317FDD"/>
    <w:rsid w:val="00324029"/>
    <w:rsid w:val="003A5390"/>
    <w:rsid w:val="003A7DA3"/>
    <w:rsid w:val="003B124C"/>
    <w:rsid w:val="003D2F56"/>
    <w:rsid w:val="003D51A2"/>
    <w:rsid w:val="004164A4"/>
    <w:rsid w:val="00420F68"/>
    <w:rsid w:val="00446666"/>
    <w:rsid w:val="0046005C"/>
    <w:rsid w:val="00473E48"/>
    <w:rsid w:val="004878DA"/>
    <w:rsid w:val="00493077"/>
    <w:rsid w:val="004C40F3"/>
    <w:rsid w:val="004E47DE"/>
    <w:rsid w:val="005242CE"/>
    <w:rsid w:val="00557ECB"/>
    <w:rsid w:val="005630D2"/>
    <w:rsid w:val="00576832"/>
    <w:rsid w:val="005A7B73"/>
    <w:rsid w:val="005B056A"/>
    <w:rsid w:val="006318B2"/>
    <w:rsid w:val="00635164"/>
    <w:rsid w:val="00652BFA"/>
    <w:rsid w:val="006C1526"/>
    <w:rsid w:val="006E7A06"/>
    <w:rsid w:val="0072647F"/>
    <w:rsid w:val="00754C9F"/>
    <w:rsid w:val="00797192"/>
    <w:rsid w:val="007A1D48"/>
    <w:rsid w:val="007B78B6"/>
    <w:rsid w:val="007E5690"/>
    <w:rsid w:val="00836A37"/>
    <w:rsid w:val="008378D0"/>
    <w:rsid w:val="008628E0"/>
    <w:rsid w:val="008A0643"/>
    <w:rsid w:val="008A18C6"/>
    <w:rsid w:val="008F5B96"/>
    <w:rsid w:val="00914739"/>
    <w:rsid w:val="00934A8E"/>
    <w:rsid w:val="0095338B"/>
    <w:rsid w:val="009537D6"/>
    <w:rsid w:val="00971A73"/>
    <w:rsid w:val="00976B41"/>
    <w:rsid w:val="009A3A4F"/>
    <w:rsid w:val="009B7F90"/>
    <w:rsid w:val="009D2487"/>
    <w:rsid w:val="00A21D39"/>
    <w:rsid w:val="00A424A1"/>
    <w:rsid w:val="00A44905"/>
    <w:rsid w:val="00A62F5B"/>
    <w:rsid w:val="00A70EE9"/>
    <w:rsid w:val="00AA04C9"/>
    <w:rsid w:val="00AA6921"/>
    <w:rsid w:val="00AD3E17"/>
    <w:rsid w:val="00B10C33"/>
    <w:rsid w:val="00B35CAF"/>
    <w:rsid w:val="00B43A75"/>
    <w:rsid w:val="00BA0D1F"/>
    <w:rsid w:val="00BB359A"/>
    <w:rsid w:val="00BB4B6A"/>
    <w:rsid w:val="00BC5ED5"/>
    <w:rsid w:val="00BD3A53"/>
    <w:rsid w:val="00BF5FE7"/>
    <w:rsid w:val="00BF68A3"/>
    <w:rsid w:val="00C157A7"/>
    <w:rsid w:val="00C2336B"/>
    <w:rsid w:val="00C54283"/>
    <w:rsid w:val="00C677AC"/>
    <w:rsid w:val="00C90EEE"/>
    <w:rsid w:val="00CC4EEB"/>
    <w:rsid w:val="00CF7EBB"/>
    <w:rsid w:val="00D170FA"/>
    <w:rsid w:val="00D2467C"/>
    <w:rsid w:val="00DB390C"/>
    <w:rsid w:val="00DD0E8D"/>
    <w:rsid w:val="00E57D49"/>
    <w:rsid w:val="00E70DC2"/>
    <w:rsid w:val="00E811EE"/>
    <w:rsid w:val="00E85C4B"/>
    <w:rsid w:val="00E85CC9"/>
    <w:rsid w:val="00EB2205"/>
    <w:rsid w:val="00EC17D3"/>
    <w:rsid w:val="00F12661"/>
    <w:rsid w:val="00F4780B"/>
    <w:rsid w:val="00F526D0"/>
    <w:rsid w:val="00F86F9D"/>
    <w:rsid w:val="00F973B3"/>
    <w:rsid w:val="00FB7FE9"/>
    <w:rsid w:val="00FC36AC"/>
    <w:rsid w:val="00FC6E80"/>
    <w:rsid w:val="00FF03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0868C"/>
  <w15:docId w15:val="{D66CEBDA-DEB5-400C-B9AA-58C47EEF5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B35C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E7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62F5B"/>
    <w:pPr>
      <w:ind w:left="720"/>
      <w:contextualSpacing/>
    </w:pPr>
  </w:style>
  <w:style w:type="character" w:customStyle="1" w:styleId="Titre1Car">
    <w:name w:val="Titre 1 Car"/>
    <w:basedOn w:val="Policepardfaut"/>
    <w:link w:val="Titre1"/>
    <w:uiPriority w:val="9"/>
    <w:rsid w:val="00B35CAF"/>
    <w:rPr>
      <w:rFonts w:ascii="Times New Roman" w:eastAsia="Times New Roman" w:hAnsi="Times New Roman" w:cs="Times New Roman"/>
      <w:b/>
      <w:bCs/>
      <w:kern w:val="36"/>
      <w:sz w:val="48"/>
      <w:szCs w:val="48"/>
      <w:lang w:eastAsia="fr-FR"/>
    </w:rPr>
  </w:style>
  <w:style w:type="paragraph" w:styleId="Textedebulles">
    <w:name w:val="Balloon Text"/>
    <w:basedOn w:val="Normal"/>
    <w:link w:val="TextedebullesCar"/>
    <w:uiPriority w:val="99"/>
    <w:semiHidden/>
    <w:unhideWhenUsed/>
    <w:rsid w:val="0079719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97192"/>
    <w:rPr>
      <w:rFonts w:ascii="Segoe UI" w:hAnsi="Segoe UI" w:cs="Segoe UI"/>
      <w:sz w:val="18"/>
      <w:szCs w:val="18"/>
    </w:rPr>
  </w:style>
  <w:style w:type="paragraph" w:styleId="En-tte">
    <w:name w:val="header"/>
    <w:basedOn w:val="Normal"/>
    <w:link w:val="En-tteCar"/>
    <w:uiPriority w:val="99"/>
    <w:unhideWhenUsed/>
    <w:rsid w:val="00E811EE"/>
    <w:pPr>
      <w:tabs>
        <w:tab w:val="center" w:pos="4536"/>
        <w:tab w:val="right" w:pos="9072"/>
      </w:tabs>
      <w:spacing w:after="0" w:line="240" w:lineRule="auto"/>
    </w:pPr>
  </w:style>
  <w:style w:type="character" w:customStyle="1" w:styleId="En-tteCar">
    <w:name w:val="En-tête Car"/>
    <w:basedOn w:val="Policepardfaut"/>
    <w:link w:val="En-tte"/>
    <w:uiPriority w:val="99"/>
    <w:rsid w:val="00E811EE"/>
  </w:style>
  <w:style w:type="paragraph" w:styleId="Pieddepage">
    <w:name w:val="footer"/>
    <w:basedOn w:val="Normal"/>
    <w:link w:val="PieddepageCar"/>
    <w:uiPriority w:val="99"/>
    <w:unhideWhenUsed/>
    <w:rsid w:val="00E811E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11EE"/>
  </w:style>
  <w:style w:type="character" w:styleId="Lienhypertexte">
    <w:name w:val="Hyperlink"/>
    <w:uiPriority w:val="99"/>
    <w:rsid w:val="008A18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89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securises.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458</TotalTime>
  <Pages>4</Pages>
  <Words>862</Words>
  <Characters>4743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Sebastien Boussier</dc:creator>
  <cp:lastModifiedBy>Séverine Chevallier</cp:lastModifiedBy>
  <cp:revision>34</cp:revision>
  <cp:lastPrinted>2020-07-03T09:16:00Z</cp:lastPrinted>
  <dcterms:created xsi:type="dcterms:W3CDTF">2020-07-02T13:25:00Z</dcterms:created>
  <dcterms:modified xsi:type="dcterms:W3CDTF">2025-08-18T15:11:00Z</dcterms:modified>
</cp:coreProperties>
</file>