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B29BB" w14:textId="77777777" w:rsidR="00072069" w:rsidRDefault="00072069">
      <w:pPr>
        <w:jc w:val="center"/>
        <w:rPr>
          <w:b/>
          <w:sz w:val="28"/>
          <w:szCs w:val="28"/>
          <w:u w:val="single"/>
        </w:rPr>
      </w:pPr>
      <w:r>
        <w:rPr>
          <w:b/>
          <w:sz w:val="28"/>
          <w:szCs w:val="28"/>
          <w:u w:val="single"/>
        </w:rPr>
        <w:t>Avis d’appel à la concurrence</w:t>
      </w:r>
    </w:p>
    <w:p w14:paraId="7F4CB88E" w14:textId="77777777" w:rsidR="00072069" w:rsidRDefault="00072069"/>
    <w:p w14:paraId="3D5126AF" w14:textId="77777777" w:rsidR="00072069" w:rsidRDefault="00072069">
      <w:pPr>
        <w:tabs>
          <w:tab w:val="left" w:pos="3240"/>
        </w:tabs>
        <w:rPr>
          <w:sz w:val="22"/>
          <w:szCs w:val="22"/>
        </w:rPr>
      </w:pPr>
      <w:r>
        <w:rPr>
          <w:i/>
          <w:sz w:val="22"/>
          <w:szCs w:val="22"/>
          <w:u w:val="single"/>
        </w:rPr>
        <w:t>Maître d’ouvrage :</w:t>
      </w:r>
      <w:r>
        <w:rPr>
          <w:sz w:val="22"/>
          <w:szCs w:val="22"/>
        </w:rPr>
        <w:t xml:space="preserve"> </w:t>
      </w:r>
      <w:r>
        <w:rPr>
          <w:sz w:val="22"/>
          <w:szCs w:val="22"/>
        </w:rPr>
        <w:tab/>
        <w:t>Ville de PONS</w:t>
      </w:r>
    </w:p>
    <w:p w14:paraId="6D45CE3B" w14:textId="77777777" w:rsidR="00072069" w:rsidRDefault="00072069">
      <w:pPr>
        <w:tabs>
          <w:tab w:val="left" w:pos="3240"/>
        </w:tabs>
        <w:rPr>
          <w:sz w:val="22"/>
          <w:szCs w:val="22"/>
        </w:rPr>
      </w:pPr>
      <w:r>
        <w:rPr>
          <w:sz w:val="22"/>
          <w:szCs w:val="22"/>
        </w:rPr>
        <w:tab/>
      </w:r>
      <w:r w:rsidR="00B54C60">
        <w:rPr>
          <w:sz w:val="22"/>
          <w:szCs w:val="22"/>
        </w:rPr>
        <w:t>Esplanade du Château</w:t>
      </w:r>
      <w:r>
        <w:rPr>
          <w:sz w:val="22"/>
          <w:szCs w:val="22"/>
        </w:rPr>
        <w:t xml:space="preserve"> – BP 76 - 17800 PONS</w:t>
      </w:r>
    </w:p>
    <w:p w14:paraId="2A05924A" w14:textId="77777777" w:rsidR="00072069" w:rsidRDefault="00072069">
      <w:pPr>
        <w:tabs>
          <w:tab w:val="left" w:pos="3240"/>
        </w:tabs>
        <w:rPr>
          <w:sz w:val="22"/>
          <w:szCs w:val="22"/>
        </w:rPr>
      </w:pPr>
      <w:r>
        <w:rPr>
          <w:sz w:val="22"/>
          <w:szCs w:val="22"/>
        </w:rPr>
        <w:tab/>
        <w:t>Tél : 05 46 91 46 46 – Fax : 05 46 96 14 15</w:t>
      </w:r>
    </w:p>
    <w:p w14:paraId="32C9E73E" w14:textId="77777777" w:rsidR="00072069" w:rsidRDefault="00072069">
      <w:pPr>
        <w:tabs>
          <w:tab w:val="left" w:pos="3240"/>
        </w:tabs>
        <w:rPr>
          <w:sz w:val="22"/>
          <w:szCs w:val="22"/>
        </w:rPr>
      </w:pPr>
    </w:p>
    <w:p w14:paraId="71060978" w14:textId="092A91DF" w:rsidR="008E046C" w:rsidRDefault="00072069" w:rsidP="008E046C">
      <w:pPr>
        <w:ind w:left="3119" w:hanging="3261"/>
        <w:jc w:val="both"/>
        <w:rPr>
          <w:sz w:val="22"/>
          <w:szCs w:val="22"/>
        </w:rPr>
      </w:pPr>
      <w:r>
        <w:rPr>
          <w:i/>
          <w:sz w:val="22"/>
          <w:szCs w:val="22"/>
          <w:u w:val="single"/>
        </w:rPr>
        <w:t>Description du marché :</w:t>
      </w:r>
      <w:r w:rsidR="00D342EE">
        <w:rPr>
          <w:sz w:val="22"/>
          <w:szCs w:val="22"/>
        </w:rPr>
        <w:t xml:space="preserve"> </w:t>
      </w:r>
      <w:r>
        <w:rPr>
          <w:sz w:val="22"/>
          <w:szCs w:val="22"/>
        </w:rPr>
        <w:t xml:space="preserve"> </w:t>
      </w:r>
      <w:r w:rsidR="00D342EE">
        <w:rPr>
          <w:sz w:val="22"/>
          <w:szCs w:val="22"/>
        </w:rPr>
        <w:t xml:space="preserve">                 </w:t>
      </w:r>
      <w:r w:rsidR="008E046C">
        <w:rPr>
          <w:sz w:val="22"/>
          <w:szCs w:val="22"/>
        </w:rPr>
        <w:t xml:space="preserve">Mission de maîtrise d’œuvre architecturale pour la restauration du château de Pons </w:t>
      </w:r>
    </w:p>
    <w:p w14:paraId="52C9BCC1" w14:textId="04CBA890" w:rsidR="008E046C" w:rsidRPr="008E046C" w:rsidRDefault="008E046C" w:rsidP="008E046C">
      <w:pPr>
        <w:pStyle w:val="Paragraphedeliste"/>
        <w:numPr>
          <w:ilvl w:val="0"/>
          <w:numId w:val="20"/>
        </w:numPr>
        <w:ind w:left="3119"/>
        <w:jc w:val="both"/>
        <w:rPr>
          <w:sz w:val="22"/>
          <w:szCs w:val="22"/>
        </w:rPr>
      </w:pPr>
      <w:r w:rsidRPr="008E046C">
        <w:rPr>
          <w:sz w:val="22"/>
          <w:szCs w:val="22"/>
        </w:rPr>
        <w:t>Tranche ferme : Diagnostic et programme pour les deux tours et la terrasse sud, puis missions complètes de maîtrise d'œuvre (APS, APD, PRO, ACT, DET, AOR)</w:t>
      </w:r>
    </w:p>
    <w:p w14:paraId="205B2A02" w14:textId="63CDAED4" w:rsidR="008E046C" w:rsidRPr="008E046C" w:rsidRDefault="008E046C" w:rsidP="008E046C">
      <w:pPr>
        <w:pStyle w:val="Paragraphedeliste"/>
        <w:numPr>
          <w:ilvl w:val="0"/>
          <w:numId w:val="20"/>
        </w:numPr>
        <w:ind w:left="3119"/>
        <w:jc w:val="both"/>
        <w:rPr>
          <w:sz w:val="22"/>
          <w:szCs w:val="22"/>
        </w:rPr>
      </w:pPr>
      <w:r w:rsidRPr="008E046C">
        <w:rPr>
          <w:sz w:val="22"/>
          <w:szCs w:val="22"/>
        </w:rPr>
        <w:t>Tranche optionnelle : Missions complètes de maîtrise d'œuvre pour le corps de logis (APS, APD, PRO, ACT, DET, AOR)</w:t>
      </w:r>
    </w:p>
    <w:p w14:paraId="0208718F" w14:textId="77777777" w:rsidR="00072069" w:rsidRDefault="00072069">
      <w:pPr>
        <w:tabs>
          <w:tab w:val="left" w:pos="3240"/>
        </w:tabs>
        <w:rPr>
          <w:sz w:val="22"/>
          <w:szCs w:val="22"/>
        </w:rPr>
      </w:pPr>
    </w:p>
    <w:p w14:paraId="18F9347F" w14:textId="77777777" w:rsidR="005D5418" w:rsidRPr="005D5418" w:rsidRDefault="00072069" w:rsidP="005D5418">
      <w:pPr>
        <w:jc w:val="both"/>
        <w:rPr>
          <w:rFonts w:cs="Arial"/>
          <w:sz w:val="22"/>
          <w:szCs w:val="22"/>
        </w:rPr>
      </w:pPr>
      <w:r>
        <w:rPr>
          <w:i/>
          <w:sz w:val="22"/>
          <w:szCs w:val="22"/>
          <w:u w:val="single"/>
        </w:rPr>
        <w:t>Mode de passation :</w:t>
      </w:r>
      <w:r>
        <w:rPr>
          <w:sz w:val="22"/>
          <w:szCs w:val="22"/>
        </w:rPr>
        <w:t xml:space="preserve"> </w:t>
      </w:r>
      <w:r>
        <w:rPr>
          <w:sz w:val="22"/>
          <w:szCs w:val="22"/>
        </w:rPr>
        <w:tab/>
      </w:r>
      <w:r w:rsidR="00322C77">
        <w:rPr>
          <w:sz w:val="22"/>
          <w:szCs w:val="22"/>
        </w:rPr>
        <w:t xml:space="preserve">Marché à </w:t>
      </w:r>
      <w:r>
        <w:rPr>
          <w:sz w:val="22"/>
          <w:szCs w:val="22"/>
        </w:rPr>
        <w:t xml:space="preserve">Procédure adaptée définie </w:t>
      </w:r>
      <w:r w:rsidR="005D5418" w:rsidRPr="005D5418">
        <w:rPr>
          <w:rFonts w:cs="Arial"/>
          <w:sz w:val="22"/>
          <w:szCs w:val="22"/>
        </w:rPr>
        <w:t xml:space="preserve">aux dispositions des articles L.2123-1 et R.2123-6 du code de la commande publique. </w:t>
      </w:r>
    </w:p>
    <w:p w14:paraId="2B5FB2CC" w14:textId="77777777" w:rsidR="00072069" w:rsidRDefault="00072069">
      <w:pPr>
        <w:tabs>
          <w:tab w:val="left" w:pos="3240"/>
        </w:tabs>
        <w:rPr>
          <w:sz w:val="22"/>
          <w:szCs w:val="22"/>
        </w:rPr>
      </w:pPr>
    </w:p>
    <w:p w14:paraId="6DBF2473" w14:textId="53C08725" w:rsidR="00A66F73" w:rsidRPr="00A66F73" w:rsidRDefault="00072069" w:rsidP="008E046C">
      <w:pPr>
        <w:pStyle w:val="Default"/>
        <w:ind w:left="3240" w:hanging="3240"/>
        <w:rPr>
          <w:sz w:val="22"/>
          <w:szCs w:val="22"/>
        </w:rPr>
      </w:pPr>
      <w:r>
        <w:rPr>
          <w:i/>
          <w:sz w:val="22"/>
          <w:szCs w:val="22"/>
          <w:u w:val="single"/>
        </w:rPr>
        <w:t>Marché :</w:t>
      </w:r>
      <w:r w:rsidR="00D342EE">
        <w:rPr>
          <w:sz w:val="22"/>
          <w:szCs w:val="22"/>
        </w:rPr>
        <w:t xml:space="preserve"> </w:t>
      </w:r>
      <w:r w:rsidR="00D342EE" w:rsidRPr="008E046C">
        <w:rPr>
          <w:sz w:val="22"/>
          <w:szCs w:val="22"/>
        </w:rPr>
        <w:t>Marché</w:t>
      </w:r>
      <w:r w:rsidRPr="008E046C">
        <w:rPr>
          <w:sz w:val="22"/>
          <w:szCs w:val="22"/>
        </w:rPr>
        <w:t xml:space="preserve"> de</w:t>
      </w:r>
      <w:r w:rsidR="00650990" w:rsidRPr="008E046C">
        <w:rPr>
          <w:sz w:val="22"/>
          <w:szCs w:val="22"/>
        </w:rPr>
        <w:t xml:space="preserve"> </w:t>
      </w:r>
      <w:r w:rsidR="008E046C" w:rsidRPr="008E046C">
        <w:rPr>
          <w:sz w:val="22"/>
          <w:szCs w:val="22"/>
        </w:rPr>
        <w:t xml:space="preserve">Prestations Intellectuelles à tranche ferme et à tranche optionnelle </w:t>
      </w:r>
      <w:r w:rsidR="00A66F73" w:rsidRPr="008E046C">
        <w:rPr>
          <w:sz w:val="22"/>
          <w:szCs w:val="22"/>
        </w:rPr>
        <w:t xml:space="preserve"> </w:t>
      </w:r>
    </w:p>
    <w:p w14:paraId="58E63202" w14:textId="77777777" w:rsidR="00072069" w:rsidRDefault="00072069" w:rsidP="00E01067">
      <w:pPr>
        <w:tabs>
          <w:tab w:val="left" w:pos="3240"/>
        </w:tabs>
        <w:rPr>
          <w:sz w:val="22"/>
          <w:szCs w:val="22"/>
        </w:rPr>
      </w:pPr>
    </w:p>
    <w:p w14:paraId="121955AA" w14:textId="6BB86294" w:rsidR="00072069" w:rsidRDefault="00EF3A9D">
      <w:pPr>
        <w:tabs>
          <w:tab w:val="left" w:pos="3240"/>
        </w:tabs>
        <w:rPr>
          <w:sz w:val="22"/>
          <w:szCs w:val="22"/>
        </w:rPr>
      </w:pPr>
      <w:r>
        <w:rPr>
          <w:i/>
          <w:sz w:val="22"/>
          <w:szCs w:val="22"/>
          <w:u w:val="single"/>
        </w:rPr>
        <w:t>Durée</w:t>
      </w:r>
      <w:r>
        <w:rPr>
          <w:sz w:val="22"/>
          <w:szCs w:val="22"/>
        </w:rPr>
        <w:t xml:space="preserve"> :</w:t>
      </w:r>
      <w:r w:rsidR="00072069">
        <w:rPr>
          <w:sz w:val="22"/>
          <w:szCs w:val="22"/>
        </w:rPr>
        <w:t xml:space="preserve"> </w:t>
      </w:r>
      <w:r w:rsidR="008E046C" w:rsidRPr="008E046C">
        <w:rPr>
          <w:sz w:val="22"/>
          <w:szCs w:val="22"/>
        </w:rPr>
        <w:t>26</w:t>
      </w:r>
      <w:r w:rsidR="00176018" w:rsidRPr="008E046C">
        <w:rPr>
          <w:sz w:val="22"/>
          <w:szCs w:val="22"/>
        </w:rPr>
        <w:t xml:space="preserve"> mois</w:t>
      </w:r>
      <w:r w:rsidR="00176018">
        <w:rPr>
          <w:sz w:val="22"/>
          <w:szCs w:val="22"/>
        </w:rPr>
        <w:t xml:space="preserve"> à compter de la signature d</w:t>
      </w:r>
      <w:r>
        <w:rPr>
          <w:sz w:val="22"/>
          <w:szCs w:val="22"/>
        </w:rPr>
        <w:t>e l’</w:t>
      </w:r>
      <w:r w:rsidR="00176018">
        <w:rPr>
          <w:sz w:val="22"/>
          <w:szCs w:val="22"/>
        </w:rPr>
        <w:t>Ordre de Service.</w:t>
      </w:r>
    </w:p>
    <w:p w14:paraId="70F8138D" w14:textId="77777777" w:rsidR="00176018" w:rsidRDefault="00176018">
      <w:pPr>
        <w:tabs>
          <w:tab w:val="left" w:pos="3240"/>
        </w:tabs>
        <w:rPr>
          <w:i/>
          <w:sz w:val="22"/>
          <w:szCs w:val="22"/>
          <w:u w:val="single"/>
        </w:rPr>
      </w:pPr>
    </w:p>
    <w:p w14:paraId="7812FC49" w14:textId="77777777" w:rsidR="00072069" w:rsidRDefault="00072069">
      <w:pPr>
        <w:tabs>
          <w:tab w:val="left" w:pos="3240"/>
        </w:tabs>
        <w:rPr>
          <w:i/>
          <w:sz w:val="22"/>
          <w:szCs w:val="22"/>
          <w:u w:val="single"/>
        </w:rPr>
      </w:pPr>
      <w:r>
        <w:rPr>
          <w:i/>
          <w:sz w:val="22"/>
          <w:szCs w:val="22"/>
          <w:u w:val="single"/>
        </w:rPr>
        <w:t xml:space="preserve">Dossier complet à produire par les candidats : </w:t>
      </w:r>
    </w:p>
    <w:p w14:paraId="0B65644C" w14:textId="77777777" w:rsidR="00072069" w:rsidRDefault="00072069">
      <w:pPr>
        <w:spacing w:before="120" w:after="120"/>
        <w:rPr>
          <w:b/>
          <w:sz w:val="22"/>
          <w:szCs w:val="22"/>
          <w:u w:val="single"/>
        </w:rPr>
      </w:pPr>
      <w:r>
        <w:rPr>
          <w:b/>
          <w:sz w:val="22"/>
          <w:szCs w:val="22"/>
          <w:u w:val="single"/>
        </w:rPr>
        <w:t>Candidature :</w:t>
      </w:r>
    </w:p>
    <w:p w14:paraId="4BC5811D" w14:textId="77777777" w:rsidR="00072069" w:rsidRDefault="00072069">
      <w:pPr>
        <w:numPr>
          <w:ilvl w:val="0"/>
          <w:numId w:val="10"/>
        </w:numPr>
        <w:tabs>
          <w:tab w:val="clear" w:pos="720"/>
        </w:tabs>
        <w:ind w:left="180" w:hanging="180"/>
        <w:jc w:val="both"/>
        <w:rPr>
          <w:sz w:val="22"/>
          <w:szCs w:val="22"/>
        </w:rPr>
      </w:pPr>
      <w:bookmarkStart w:id="0" w:name="Prg_Article52_MarcheUnique"/>
      <w:bookmarkStart w:id="1" w:name="Prg_Article52_AOO"/>
      <w:bookmarkEnd w:id="0"/>
      <w:bookmarkEnd w:id="1"/>
      <w:r>
        <w:rPr>
          <w:b/>
          <w:sz w:val="22"/>
          <w:szCs w:val="22"/>
        </w:rPr>
        <w:t>Lettre de candidature</w:t>
      </w:r>
      <w:r>
        <w:rPr>
          <w:sz w:val="22"/>
          <w:szCs w:val="22"/>
        </w:rPr>
        <w:t xml:space="preserve"> et d’habilitation du candidat (modèle </w:t>
      </w:r>
      <w:r>
        <w:rPr>
          <w:b/>
          <w:sz w:val="22"/>
          <w:szCs w:val="22"/>
        </w:rPr>
        <w:t xml:space="preserve">DC1 </w:t>
      </w:r>
      <w:r>
        <w:rPr>
          <w:sz w:val="22"/>
          <w:szCs w:val="22"/>
        </w:rPr>
        <w:t xml:space="preserve">ou similaire) dûment complétée, datée et signée </w:t>
      </w:r>
    </w:p>
    <w:p w14:paraId="72F716A4" w14:textId="77777777" w:rsidR="00072069" w:rsidRDefault="00072069">
      <w:pPr>
        <w:numPr>
          <w:ilvl w:val="0"/>
          <w:numId w:val="10"/>
        </w:numPr>
        <w:tabs>
          <w:tab w:val="clear" w:pos="720"/>
        </w:tabs>
        <w:ind w:left="180" w:hanging="180"/>
        <w:jc w:val="both"/>
        <w:rPr>
          <w:sz w:val="22"/>
          <w:szCs w:val="22"/>
        </w:rPr>
      </w:pPr>
      <w:r>
        <w:rPr>
          <w:b/>
          <w:sz w:val="22"/>
          <w:szCs w:val="22"/>
        </w:rPr>
        <w:t>Déclaration du candidat</w:t>
      </w:r>
      <w:r>
        <w:rPr>
          <w:sz w:val="22"/>
          <w:szCs w:val="22"/>
        </w:rPr>
        <w:t xml:space="preserve"> (modèle </w:t>
      </w:r>
      <w:r>
        <w:rPr>
          <w:b/>
          <w:sz w:val="22"/>
          <w:szCs w:val="22"/>
        </w:rPr>
        <w:t>DC2</w:t>
      </w:r>
      <w:r>
        <w:rPr>
          <w:sz w:val="22"/>
          <w:szCs w:val="22"/>
        </w:rPr>
        <w:t xml:space="preserve"> ou similaire) dûment complétée, datée et signée.</w:t>
      </w:r>
    </w:p>
    <w:p w14:paraId="0C2C7B01" w14:textId="77777777" w:rsidR="00072069" w:rsidRPr="00536A90" w:rsidRDefault="00072069">
      <w:pPr>
        <w:numPr>
          <w:ilvl w:val="0"/>
          <w:numId w:val="10"/>
        </w:numPr>
        <w:tabs>
          <w:tab w:val="clear" w:pos="720"/>
        </w:tabs>
        <w:ind w:left="180" w:hanging="180"/>
        <w:jc w:val="both"/>
        <w:rPr>
          <w:sz w:val="22"/>
          <w:szCs w:val="22"/>
        </w:rPr>
      </w:pPr>
      <w:r>
        <w:rPr>
          <w:b/>
          <w:sz w:val="22"/>
          <w:szCs w:val="22"/>
        </w:rPr>
        <w:t>Références similaires (présentation libre).</w:t>
      </w:r>
    </w:p>
    <w:p w14:paraId="21779EB8" w14:textId="77777777" w:rsidR="00536A90" w:rsidRPr="001B2160" w:rsidRDefault="00536A90" w:rsidP="00536A90">
      <w:pPr>
        <w:pStyle w:val="RedaliaNormal"/>
        <w:numPr>
          <w:ilvl w:val="0"/>
          <w:numId w:val="10"/>
        </w:numPr>
        <w:tabs>
          <w:tab w:val="clear" w:pos="720"/>
        </w:tabs>
        <w:ind w:left="284" w:hanging="284"/>
        <w:rPr>
          <w:rFonts w:ascii="Times New Roman" w:hAnsi="Times New Roman"/>
          <w:sz w:val="22"/>
          <w:szCs w:val="22"/>
        </w:rPr>
      </w:pPr>
      <w:r w:rsidRPr="001B2160">
        <w:rPr>
          <w:rFonts w:ascii="Times New Roman" w:hAnsi="Times New Roman"/>
          <w:sz w:val="22"/>
          <w:szCs w:val="22"/>
        </w:rPr>
        <w:t>Des indications concernant les procédés et moyens d’exécution envisagés, ainsi que les moyens humains prévus pour chaque ouvrage et l’organisation du suivi des travaux par le responsable des travaux</w:t>
      </w:r>
      <w:r>
        <w:rPr>
          <w:rFonts w:ascii="Times New Roman" w:hAnsi="Times New Roman"/>
          <w:sz w:val="22"/>
          <w:szCs w:val="22"/>
        </w:rPr>
        <w:t>.</w:t>
      </w:r>
    </w:p>
    <w:p w14:paraId="0510CC05" w14:textId="77777777" w:rsidR="00536A90" w:rsidRDefault="00536A90" w:rsidP="00536A90">
      <w:pPr>
        <w:ind w:left="180"/>
        <w:jc w:val="both"/>
        <w:rPr>
          <w:sz w:val="22"/>
          <w:szCs w:val="22"/>
        </w:rPr>
      </w:pPr>
    </w:p>
    <w:p w14:paraId="706F80C1" w14:textId="77777777" w:rsidR="00072069" w:rsidRDefault="00072069">
      <w:pPr>
        <w:jc w:val="both"/>
        <w:rPr>
          <w:b/>
          <w:sz w:val="22"/>
          <w:szCs w:val="22"/>
          <w:u w:val="single"/>
        </w:rPr>
      </w:pPr>
      <w:r>
        <w:rPr>
          <w:b/>
          <w:sz w:val="22"/>
          <w:szCs w:val="22"/>
          <w:u w:val="single"/>
        </w:rPr>
        <w:t xml:space="preserve">Offre : </w:t>
      </w:r>
    </w:p>
    <w:p w14:paraId="00AB5B03" w14:textId="77777777" w:rsidR="00072069" w:rsidRDefault="00650990">
      <w:pPr>
        <w:pStyle w:val="RdaliaRetraitniveau1"/>
        <w:numPr>
          <w:ilvl w:val="0"/>
          <w:numId w:val="9"/>
        </w:numPr>
        <w:tabs>
          <w:tab w:val="left" w:pos="1060"/>
        </w:tabs>
        <w:ind w:left="426" w:hanging="426"/>
        <w:rPr>
          <w:rFonts w:ascii="Times New Roman" w:hAnsi="Times New Roman"/>
          <w:sz w:val="22"/>
          <w:szCs w:val="22"/>
        </w:rPr>
      </w:pPr>
      <w:r>
        <w:rPr>
          <w:rFonts w:ascii="Times New Roman" w:hAnsi="Times New Roman"/>
          <w:b/>
          <w:sz w:val="22"/>
          <w:szCs w:val="22"/>
        </w:rPr>
        <w:t>Un A</w:t>
      </w:r>
      <w:r w:rsidR="00072069">
        <w:rPr>
          <w:rFonts w:ascii="Times New Roman" w:hAnsi="Times New Roman"/>
          <w:b/>
          <w:sz w:val="22"/>
          <w:szCs w:val="22"/>
        </w:rPr>
        <w:t>cte d'</w:t>
      </w:r>
      <w:r>
        <w:rPr>
          <w:rFonts w:ascii="Times New Roman" w:hAnsi="Times New Roman"/>
          <w:b/>
          <w:sz w:val="22"/>
          <w:szCs w:val="22"/>
        </w:rPr>
        <w:t>E</w:t>
      </w:r>
      <w:r w:rsidR="00072069">
        <w:rPr>
          <w:rFonts w:ascii="Times New Roman" w:hAnsi="Times New Roman"/>
          <w:b/>
          <w:sz w:val="22"/>
          <w:szCs w:val="22"/>
        </w:rPr>
        <w:t>ngagement</w:t>
      </w:r>
      <w:r w:rsidR="00072069">
        <w:rPr>
          <w:rFonts w:ascii="Times New Roman" w:hAnsi="Times New Roman"/>
          <w:sz w:val="22"/>
          <w:szCs w:val="22"/>
        </w:rPr>
        <w:t xml:space="preserve"> </w:t>
      </w:r>
      <w:r w:rsidR="00E01067">
        <w:rPr>
          <w:rFonts w:ascii="Times New Roman" w:hAnsi="Times New Roman"/>
          <w:sz w:val="22"/>
          <w:szCs w:val="22"/>
        </w:rPr>
        <w:t>(modèle ATTRI1)</w:t>
      </w:r>
      <w:r w:rsidR="00072069">
        <w:rPr>
          <w:rFonts w:ascii="Times New Roman" w:hAnsi="Times New Roman"/>
          <w:sz w:val="22"/>
          <w:szCs w:val="22"/>
        </w:rPr>
        <w:t>: à compléter et notamment le prix</w:t>
      </w:r>
      <w:r w:rsidR="00585CA2">
        <w:rPr>
          <w:rFonts w:ascii="Times New Roman" w:hAnsi="Times New Roman"/>
          <w:sz w:val="22"/>
          <w:szCs w:val="22"/>
        </w:rPr>
        <w:t xml:space="preserve"> et le délai de livraison, daté et signé</w:t>
      </w:r>
      <w:r w:rsidR="00072069">
        <w:rPr>
          <w:rFonts w:ascii="Times New Roman" w:hAnsi="Times New Roman"/>
          <w:sz w:val="22"/>
          <w:szCs w:val="22"/>
        </w:rPr>
        <w:t xml:space="preserve"> par les représentants qualifiés de toutes les entreprises candidates ayant vocation à être titulaires du marché.</w:t>
      </w:r>
      <w:bookmarkStart w:id="2" w:name="Prg_Travaux_08"/>
      <w:bookmarkEnd w:id="2"/>
    </w:p>
    <w:p w14:paraId="48CF2EF9" w14:textId="77777777" w:rsidR="00072069" w:rsidRPr="00B848F3" w:rsidRDefault="00072069" w:rsidP="00B848F3">
      <w:pPr>
        <w:pStyle w:val="RedaliaNormal"/>
        <w:numPr>
          <w:ilvl w:val="0"/>
          <w:numId w:val="8"/>
        </w:numPr>
        <w:rPr>
          <w:rFonts w:ascii="Times New Roman" w:hAnsi="Times New Roman"/>
          <w:b/>
          <w:sz w:val="22"/>
          <w:szCs w:val="22"/>
        </w:rPr>
      </w:pPr>
      <w:bookmarkStart w:id="3" w:name="Prg_Services_08"/>
      <w:bookmarkStart w:id="4" w:name="Prg_Travaux_21"/>
      <w:bookmarkStart w:id="5" w:name="Prg_CCAPProjMar"/>
      <w:bookmarkStart w:id="6" w:name="Prg_VariantesAutorisees_05"/>
      <w:bookmarkStart w:id="7" w:name="Prg_PasVariantes_02"/>
      <w:bookmarkEnd w:id="3"/>
      <w:bookmarkEnd w:id="4"/>
      <w:bookmarkEnd w:id="5"/>
      <w:bookmarkEnd w:id="6"/>
      <w:bookmarkEnd w:id="7"/>
      <w:r>
        <w:rPr>
          <w:rFonts w:ascii="Times New Roman" w:hAnsi="Times New Roman"/>
          <w:b/>
          <w:sz w:val="22"/>
          <w:szCs w:val="22"/>
        </w:rPr>
        <w:t>Les Cah</w:t>
      </w:r>
      <w:r w:rsidR="00650990">
        <w:rPr>
          <w:rFonts w:ascii="Times New Roman" w:hAnsi="Times New Roman"/>
          <w:b/>
          <w:sz w:val="22"/>
          <w:szCs w:val="22"/>
        </w:rPr>
        <w:t>iers des Clauses Particulières Administratives et T</w:t>
      </w:r>
      <w:r>
        <w:rPr>
          <w:rFonts w:ascii="Times New Roman" w:hAnsi="Times New Roman"/>
          <w:b/>
          <w:sz w:val="22"/>
          <w:szCs w:val="22"/>
        </w:rPr>
        <w:t>echniques</w:t>
      </w:r>
      <w:r w:rsidR="00650990" w:rsidRPr="00650990">
        <w:rPr>
          <w:sz w:val="22"/>
          <w:szCs w:val="22"/>
        </w:rPr>
        <w:t xml:space="preserve"> </w:t>
      </w:r>
      <w:r w:rsidR="00650990">
        <w:rPr>
          <w:sz w:val="22"/>
          <w:szCs w:val="22"/>
        </w:rPr>
        <w:t>(</w:t>
      </w:r>
      <w:r w:rsidR="00650990">
        <w:rPr>
          <w:rFonts w:ascii="Times New Roman" w:hAnsi="Times New Roman"/>
          <w:sz w:val="24"/>
          <w:szCs w:val="22"/>
        </w:rPr>
        <w:t>à dater</w:t>
      </w:r>
      <w:r w:rsidR="00650990" w:rsidRPr="00650990">
        <w:rPr>
          <w:rFonts w:ascii="Times New Roman" w:hAnsi="Times New Roman"/>
          <w:sz w:val="24"/>
          <w:szCs w:val="22"/>
        </w:rPr>
        <w:t xml:space="preserve"> et sign</w:t>
      </w:r>
      <w:r w:rsidR="00650990">
        <w:rPr>
          <w:rFonts w:ascii="Times New Roman" w:hAnsi="Times New Roman"/>
          <w:sz w:val="24"/>
          <w:szCs w:val="22"/>
        </w:rPr>
        <w:t>er pour acceptation)</w:t>
      </w:r>
    </w:p>
    <w:p w14:paraId="4F49D8BB" w14:textId="77777777" w:rsidR="00536A90" w:rsidRPr="00536A90" w:rsidRDefault="00650990">
      <w:pPr>
        <w:pStyle w:val="RedaliaNormal"/>
        <w:numPr>
          <w:ilvl w:val="0"/>
          <w:numId w:val="8"/>
        </w:numPr>
        <w:rPr>
          <w:rFonts w:ascii="Times New Roman" w:hAnsi="Times New Roman"/>
          <w:sz w:val="22"/>
          <w:szCs w:val="22"/>
        </w:rPr>
      </w:pPr>
      <w:r>
        <w:rPr>
          <w:rFonts w:ascii="Times New Roman" w:hAnsi="Times New Roman"/>
          <w:b/>
          <w:sz w:val="22"/>
          <w:szCs w:val="22"/>
        </w:rPr>
        <w:t xml:space="preserve">Règlement de Consultation </w:t>
      </w:r>
      <w:r>
        <w:rPr>
          <w:sz w:val="22"/>
          <w:szCs w:val="22"/>
        </w:rPr>
        <w:t>(</w:t>
      </w:r>
      <w:r>
        <w:rPr>
          <w:rFonts w:ascii="Times New Roman" w:hAnsi="Times New Roman"/>
          <w:sz w:val="24"/>
          <w:szCs w:val="22"/>
        </w:rPr>
        <w:t>à dater</w:t>
      </w:r>
      <w:r w:rsidRPr="00650990">
        <w:rPr>
          <w:rFonts w:ascii="Times New Roman" w:hAnsi="Times New Roman"/>
          <w:sz w:val="24"/>
          <w:szCs w:val="22"/>
        </w:rPr>
        <w:t xml:space="preserve"> et sign</w:t>
      </w:r>
      <w:r>
        <w:rPr>
          <w:rFonts w:ascii="Times New Roman" w:hAnsi="Times New Roman"/>
          <w:sz w:val="24"/>
          <w:szCs w:val="22"/>
        </w:rPr>
        <w:t>er pour acceptation)</w:t>
      </w:r>
      <w:r w:rsidRPr="00650990">
        <w:rPr>
          <w:rFonts w:ascii="Times New Roman" w:hAnsi="Times New Roman"/>
          <w:b/>
          <w:sz w:val="22"/>
          <w:szCs w:val="22"/>
        </w:rPr>
        <w:t>.</w:t>
      </w:r>
    </w:p>
    <w:p w14:paraId="5F0C4DCE" w14:textId="77777777" w:rsidR="00072069" w:rsidRDefault="00536A90">
      <w:pPr>
        <w:pStyle w:val="RedaliaNormal"/>
        <w:numPr>
          <w:ilvl w:val="0"/>
          <w:numId w:val="8"/>
        </w:numPr>
        <w:rPr>
          <w:rFonts w:ascii="Times New Roman" w:hAnsi="Times New Roman"/>
          <w:sz w:val="22"/>
          <w:szCs w:val="22"/>
        </w:rPr>
      </w:pPr>
      <w:r>
        <w:rPr>
          <w:rFonts w:ascii="Times New Roman" w:hAnsi="Times New Roman"/>
          <w:b/>
          <w:sz w:val="22"/>
          <w:szCs w:val="22"/>
        </w:rPr>
        <w:t xml:space="preserve">Le </w:t>
      </w:r>
      <w:r w:rsidR="00E01067">
        <w:rPr>
          <w:rFonts w:ascii="Times New Roman" w:hAnsi="Times New Roman"/>
          <w:b/>
          <w:sz w:val="22"/>
          <w:szCs w:val="22"/>
        </w:rPr>
        <w:t>DPGF par tranche</w:t>
      </w:r>
      <w:r>
        <w:rPr>
          <w:rFonts w:ascii="Times New Roman" w:hAnsi="Times New Roman"/>
          <w:b/>
          <w:sz w:val="22"/>
          <w:szCs w:val="22"/>
        </w:rPr>
        <w:t xml:space="preserve"> </w:t>
      </w:r>
      <w:r>
        <w:rPr>
          <w:sz w:val="22"/>
          <w:szCs w:val="22"/>
        </w:rPr>
        <w:t>(</w:t>
      </w:r>
      <w:r>
        <w:rPr>
          <w:rFonts w:ascii="Times New Roman" w:hAnsi="Times New Roman"/>
          <w:sz w:val="24"/>
          <w:szCs w:val="22"/>
        </w:rPr>
        <w:t>à dater</w:t>
      </w:r>
      <w:r w:rsidRPr="00650990">
        <w:rPr>
          <w:rFonts w:ascii="Times New Roman" w:hAnsi="Times New Roman"/>
          <w:sz w:val="24"/>
          <w:szCs w:val="22"/>
        </w:rPr>
        <w:t xml:space="preserve"> et </w:t>
      </w:r>
      <w:r>
        <w:rPr>
          <w:rFonts w:ascii="Times New Roman" w:hAnsi="Times New Roman"/>
          <w:sz w:val="24"/>
          <w:szCs w:val="22"/>
        </w:rPr>
        <w:t xml:space="preserve">à </w:t>
      </w:r>
      <w:r w:rsidRPr="00650990">
        <w:rPr>
          <w:rFonts w:ascii="Times New Roman" w:hAnsi="Times New Roman"/>
          <w:sz w:val="24"/>
          <w:szCs w:val="22"/>
        </w:rPr>
        <w:t>sign</w:t>
      </w:r>
      <w:r>
        <w:rPr>
          <w:rFonts w:ascii="Times New Roman" w:hAnsi="Times New Roman"/>
          <w:sz w:val="24"/>
          <w:szCs w:val="22"/>
        </w:rPr>
        <w:t>er)</w:t>
      </w:r>
      <w:r w:rsidRPr="00650990">
        <w:rPr>
          <w:rFonts w:ascii="Times New Roman" w:hAnsi="Times New Roman"/>
          <w:b/>
          <w:sz w:val="22"/>
          <w:szCs w:val="22"/>
        </w:rPr>
        <w:t>.</w:t>
      </w:r>
      <w:r w:rsidR="00650990" w:rsidRPr="00650990">
        <w:rPr>
          <w:sz w:val="22"/>
          <w:szCs w:val="22"/>
        </w:rPr>
        <w:t xml:space="preserve"> </w:t>
      </w:r>
    </w:p>
    <w:p w14:paraId="7611C9CD" w14:textId="77777777" w:rsidR="00072069" w:rsidRDefault="00072069">
      <w:pPr>
        <w:pStyle w:val="RedaliaNormal"/>
        <w:ind w:left="360"/>
        <w:rPr>
          <w:rFonts w:ascii="Times New Roman" w:hAnsi="Times New Roman"/>
          <w:sz w:val="22"/>
          <w:szCs w:val="22"/>
        </w:rPr>
      </w:pPr>
      <w:bookmarkStart w:id="8" w:name="Prg_CCTPProjMar"/>
      <w:bookmarkStart w:id="9" w:name="Prg_VariantesComplements_01"/>
      <w:bookmarkStart w:id="10" w:name="Prg_PasVariantesPasCompléments_01"/>
      <w:bookmarkStart w:id="11" w:name="Prg_PasCCTPProjMar_01"/>
      <w:bookmarkStart w:id="12" w:name="Prg_Travaux_13"/>
      <w:bookmarkStart w:id="13" w:name="Prg_MemoireJustif"/>
      <w:bookmarkEnd w:id="8"/>
      <w:bookmarkEnd w:id="9"/>
      <w:bookmarkEnd w:id="10"/>
      <w:bookmarkEnd w:id="11"/>
      <w:bookmarkEnd w:id="12"/>
      <w:bookmarkEnd w:id="13"/>
    </w:p>
    <w:p w14:paraId="2377A1E1" w14:textId="77777777" w:rsidR="00072069" w:rsidRDefault="00072069">
      <w:pPr>
        <w:pStyle w:val="RedaliaNormal"/>
        <w:rPr>
          <w:rFonts w:ascii="Times New Roman" w:hAnsi="Times New Roman"/>
          <w:color w:val="FF0000"/>
          <w:sz w:val="22"/>
          <w:szCs w:val="22"/>
        </w:rPr>
      </w:pPr>
      <w:r>
        <w:rPr>
          <w:rFonts w:ascii="Times New Roman" w:hAnsi="Times New Roman"/>
          <w:sz w:val="22"/>
          <w:szCs w:val="22"/>
        </w:rPr>
        <w:t>Le mémoire technique remis par le titulaire deviendra une pièce contractuelle à compter de la notification du marché.</w:t>
      </w:r>
    </w:p>
    <w:p w14:paraId="3F89F780" w14:textId="77777777" w:rsidR="00072069" w:rsidRDefault="00072069" w:rsidP="00160E5D">
      <w:pPr>
        <w:tabs>
          <w:tab w:val="left" w:pos="3240"/>
        </w:tabs>
        <w:rPr>
          <w:sz w:val="22"/>
          <w:szCs w:val="22"/>
        </w:rPr>
      </w:pPr>
    </w:p>
    <w:p w14:paraId="2AE8BD45" w14:textId="77777777" w:rsidR="00072069" w:rsidRDefault="00072069">
      <w:pPr>
        <w:tabs>
          <w:tab w:val="left" w:pos="3240"/>
        </w:tabs>
        <w:rPr>
          <w:sz w:val="22"/>
          <w:szCs w:val="22"/>
        </w:rPr>
      </w:pPr>
      <w:r>
        <w:rPr>
          <w:sz w:val="22"/>
          <w:szCs w:val="22"/>
        </w:rPr>
        <w:t xml:space="preserve">Les dossiers de consultation des entreprises peuvent être également téléchargés gratuitement sur le site </w:t>
      </w:r>
      <w:hyperlink r:id="rId8" w:history="1">
        <w:r>
          <w:rPr>
            <w:rStyle w:val="Lienhypertexte"/>
            <w:sz w:val="22"/>
            <w:szCs w:val="22"/>
          </w:rPr>
          <w:t>www.marches-securises.fr</w:t>
        </w:r>
      </w:hyperlink>
      <w:r>
        <w:rPr>
          <w:sz w:val="22"/>
          <w:szCs w:val="22"/>
        </w:rPr>
        <w:t xml:space="preserve"> .</w:t>
      </w:r>
    </w:p>
    <w:p w14:paraId="3DB1DCC1" w14:textId="77777777" w:rsidR="00072069" w:rsidRDefault="00072069">
      <w:pPr>
        <w:tabs>
          <w:tab w:val="left" w:pos="3240"/>
        </w:tabs>
        <w:rPr>
          <w:sz w:val="22"/>
          <w:szCs w:val="22"/>
        </w:rPr>
      </w:pPr>
    </w:p>
    <w:p w14:paraId="6B6EA609" w14:textId="77777777" w:rsidR="00072069" w:rsidRDefault="00072069">
      <w:pPr>
        <w:tabs>
          <w:tab w:val="left" w:pos="3240"/>
        </w:tabs>
        <w:rPr>
          <w:i/>
          <w:sz w:val="22"/>
          <w:szCs w:val="22"/>
          <w:u w:val="single"/>
        </w:rPr>
      </w:pPr>
      <w:r>
        <w:rPr>
          <w:i/>
          <w:sz w:val="22"/>
          <w:szCs w:val="22"/>
          <w:u w:val="single"/>
        </w:rPr>
        <w:t>Conditions de remise des candidatures et des offres </w:t>
      </w:r>
    </w:p>
    <w:p w14:paraId="0EE4A3E1" w14:textId="77777777" w:rsidR="00854FB4" w:rsidRPr="00854FB4" w:rsidRDefault="00854FB4" w:rsidP="00854FB4">
      <w:pPr>
        <w:jc w:val="both"/>
        <w:rPr>
          <w:iCs/>
          <w:sz w:val="22"/>
          <w:szCs w:val="21"/>
        </w:rPr>
      </w:pPr>
      <w:r w:rsidRPr="00854FB4">
        <w:rPr>
          <w:iCs/>
          <w:sz w:val="22"/>
          <w:szCs w:val="20"/>
        </w:rPr>
        <w:t>La transmission des candidatures et des offres s’effectue obligatoirement par voie électronique via le profil d’Acheteur :</w:t>
      </w:r>
      <w:r>
        <w:rPr>
          <w:iCs/>
          <w:sz w:val="22"/>
          <w:szCs w:val="20"/>
        </w:rPr>
        <w:t xml:space="preserve"> </w:t>
      </w:r>
      <w:hyperlink r:id="rId9" w:history="1">
        <w:r w:rsidRPr="009309BA">
          <w:rPr>
            <w:rStyle w:val="Lienhypertexte"/>
            <w:sz w:val="22"/>
            <w:szCs w:val="20"/>
          </w:rPr>
          <w:t>https://www.marches-securises.fr</w:t>
        </w:r>
      </w:hyperlink>
    </w:p>
    <w:p w14:paraId="746FA4E9" w14:textId="77777777" w:rsidR="00854FB4" w:rsidRPr="00854FB4" w:rsidRDefault="00854FB4" w:rsidP="00854FB4">
      <w:pPr>
        <w:jc w:val="both"/>
        <w:rPr>
          <w:sz w:val="10"/>
          <w:szCs w:val="10"/>
          <w:u w:val="single"/>
        </w:rPr>
      </w:pPr>
    </w:p>
    <w:p w14:paraId="7A1664FE" w14:textId="77777777" w:rsidR="00854FB4" w:rsidRPr="00854FB4" w:rsidRDefault="00854FB4" w:rsidP="00854FB4">
      <w:pPr>
        <w:ind w:left="1134" w:hanging="1134"/>
        <w:jc w:val="both"/>
        <w:rPr>
          <w:sz w:val="20"/>
          <w:szCs w:val="20"/>
        </w:rPr>
      </w:pPr>
      <w:r w:rsidRPr="00854FB4">
        <w:rPr>
          <w:b/>
          <w:sz w:val="20"/>
          <w:szCs w:val="20"/>
        </w:rPr>
        <w:t>Formats</w:t>
      </w:r>
      <w:r w:rsidRPr="00854FB4">
        <w:rPr>
          <w:sz w:val="20"/>
          <w:szCs w:val="20"/>
        </w:rPr>
        <w:tab/>
        <w:t xml:space="preserve">Pour les documents exigés par l’Acheteur, les formats autorisés en réponse sont : PDF à l’exclusion des </w:t>
      </w:r>
      <w:r w:rsidRPr="00457D56">
        <w:rPr>
          <w:i/>
          <w:sz w:val="20"/>
          <w:szCs w:val="20"/>
        </w:rPr>
        <w:t>BPU, DQE et DPGF</w:t>
      </w:r>
      <w:r w:rsidRPr="00457D56">
        <w:rPr>
          <w:rStyle w:val="Appelnotedebasdep"/>
          <w:sz w:val="20"/>
          <w:szCs w:val="20"/>
        </w:rPr>
        <w:footnoteReference w:id="1"/>
      </w:r>
      <w:r w:rsidRPr="00457D56">
        <w:rPr>
          <w:sz w:val="20"/>
          <w:szCs w:val="20"/>
        </w:rPr>
        <w:t xml:space="preserve"> </w:t>
      </w:r>
      <w:r w:rsidRPr="00854FB4">
        <w:rPr>
          <w:sz w:val="20"/>
          <w:szCs w:val="20"/>
        </w:rPr>
        <w:t>qui doivent être retournés en format XLS ou XLSX.</w:t>
      </w:r>
    </w:p>
    <w:p w14:paraId="482D6945" w14:textId="77777777" w:rsidR="00854FB4" w:rsidRPr="00854FB4" w:rsidRDefault="00854FB4" w:rsidP="00854FB4">
      <w:pPr>
        <w:ind w:left="1134"/>
        <w:jc w:val="both"/>
        <w:rPr>
          <w:sz w:val="20"/>
          <w:szCs w:val="20"/>
        </w:rPr>
      </w:pPr>
      <w:r w:rsidRPr="00854FB4">
        <w:rPr>
          <w:sz w:val="20"/>
          <w:szCs w:val="20"/>
        </w:rPr>
        <w:t>Si l’entreprise souhaite transmettre des documents supplémentaires autres que ceux exigés par l’Acheteur alors il lui appartient de transmettre ces documents dans des formats réputés « largement disponibles »</w:t>
      </w:r>
      <w:r w:rsidRPr="00854FB4">
        <w:rPr>
          <w:sz w:val="20"/>
          <w:szCs w:val="20"/>
        </w:rPr>
        <w:br/>
        <w:t>(ex. : DOC, DOCX, PPT, PPTX, RTF, DWG, JPG, AVI …).</w:t>
      </w:r>
    </w:p>
    <w:p w14:paraId="112C65CB" w14:textId="77777777" w:rsidR="00854FB4" w:rsidRPr="00854FB4" w:rsidRDefault="00854FB4" w:rsidP="00854FB4">
      <w:pPr>
        <w:jc w:val="both"/>
        <w:rPr>
          <w:iCs/>
          <w:sz w:val="4"/>
          <w:szCs w:val="4"/>
        </w:rPr>
      </w:pPr>
    </w:p>
    <w:p w14:paraId="6F49DB89" w14:textId="77777777" w:rsidR="00854FB4" w:rsidRPr="00854FB4" w:rsidRDefault="00854FB4" w:rsidP="00854FB4">
      <w:pPr>
        <w:ind w:left="1134" w:hanging="1134"/>
        <w:jc w:val="both"/>
        <w:rPr>
          <w:sz w:val="20"/>
          <w:szCs w:val="20"/>
        </w:rPr>
      </w:pPr>
      <w:r w:rsidRPr="00854FB4">
        <w:rPr>
          <w:b/>
          <w:sz w:val="20"/>
          <w:szCs w:val="20"/>
        </w:rPr>
        <w:t>Virus</w:t>
      </w:r>
      <w:r w:rsidRPr="00854FB4">
        <w:rPr>
          <w:sz w:val="20"/>
          <w:szCs w:val="20"/>
        </w:rPr>
        <w:tab/>
        <w:t>Il est ici rappelé, qu’il appartient au soumissionnaire de disposer d’un système de contrôle des virus informatiques et de s’assurer que les fichiers remis sont exempts de virus.</w:t>
      </w:r>
    </w:p>
    <w:p w14:paraId="7F77F8D9" w14:textId="77777777" w:rsidR="00854FB4" w:rsidRPr="00854FB4" w:rsidRDefault="00854FB4" w:rsidP="00854FB4">
      <w:pPr>
        <w:jc w:val="both"/>
        <w:rPr>
          <w:iCs/>
          <w:sz w:val="4"/>
          <w:szCs w:val="4"/>
        </w:rPr>
      </w:pPr>
    </w:p>
    <w:p w14:paraId="38929432" w14:textId="77777777" w:rsidR="00854FB4" w:rsidRPr="00854FB4" w:rsidRDefault="00854FB4" w:rsidP="00854FB4">
      <w:pPr>
        <w:ind w:left="1134" w:hanging="1134"/>
        <w:jc w:val="both"/>
        <w:rPr>
          <w:sz w:val="21"/>
          <w:szCs w:val="21"/>
        </w:rPr>
      </w:pPr>
      <w:r w:rsidRPr="00854FB4">
        <w:rPr>
          <w:b/>
          <w:sz w:val="21"/>
          <w:szCs w:val="21"/>
        </w:rPr>
        <w:t>Signature</w:t>
      </w:r>
      <w:r w:rsidRPr="00854FB4">
        <w:rPr>
          <w:sz w:val="21"/>
          <w:szCs w:val="21"/>
        </w:rPr>
        <w:tab/>
      </w:r>
      <w:r w:rsidRPr="00854FB4">
        <w:rPr>
          <w:b/>
          <w:bCs/>
          <w:color w:val="0033CC"/>
          <w:sz w:val="21"/>
          <w:szCs w:val="21"/>
        </w:rPr>
        <w:t>La signature électronique n’est pas exigée</w:t>
      </w:r>
      <w:r w:rsidRPr="00854FB4">
        <w:rPr>
          <w:sz w:val="21"/>
          <w:szCs w:val="21"/>
        </w:rPr>
        <w:t>.</w:t>
      </w:r>
    </w:p>
    <w:p w14:paraId="6A4C0346" w14:textId="77777777" w:rsidR="00854FB4" w:rsidRPr="00854FB4" w:rsidRDefault="00854FB4" w:rsidP="00854FB4">
      <w:pPr>
        <w:ind w:left="1134"/>
        <w:jc w:val="both"/>
        <w:rPr>
          <w:sz w:val="21"/>
          <w:szCs w:val="21"/>
        </w:rPr>
      </w:pPr>
      <w:r w:rsidRPr="00854FB4">
        <w:rPr>
          <w:b/>
          <w:bCs/>
          <w:color w:val="0033CC"/>
          <w:sz w:val="21"/>
          <w:szCs w:val="21"/>
        </w:rPr>
        <w:t>Le marché sera, in fine, signé avec l’Attributaire sous forme électronique</w:t>
      </w:r>
      <w:r w:rsidRPr="00854FB4">
        <w:rPr>
          <w:sz w:val="21"/>
          <w:szCs w:val="21"/>
        </w:rPr>
        <w:t>.</w:t>
      </w:r>
    </w:p>
    <w:p w14:paraId="01268EB8" w14:textId="77777777" w:rsidR="00854FB4" w:rsidRPr="00854FB4" w:rsidRDefault="00854FB4" w:rsidP="00854FB4">
      <w:pPr>
        <w:ind w:left="1134"/>
        <w:jc w:val="both"/>
        <w:rPr>
          <w:sz w:val="21"/>
          <w:szCs w:val="21"/>
        </w:rPr>
      </w:pPr>
      <w:r w:rsidRPr="00854FB4">
        <w:rPr>
          <w:sz w:val="21"/>
          <w:szCs w:val="21"/>
        </w:rPr>
        <w:t>Les catégories de certificats de signature électronique (CSE) autorisées et les formats autorisés sont ceux listés dans l’arrêté du 22 mars 2019.</w:t>
      </w:r>
    </w:p>
    <w:p w14:paraId="3F3DC6BE" w14:textId="77777777" w:rsidR="00854FB4" w:rsidRPr="00854FB4" w:rsidRDefault="00854FB4" w:rsidP="00854FB4">
      <w:pPr>
        <w:jc w:val="both"/>
        <w:rPr>
          <w:iCs/>
          <w:sz w:val="4"/>
          <w:szCs w:val="4"/>
        </w:rPr>
      </w:pPr>
    </w:p>
    <w:p w14:paraId="3FFE2CB5" w14:textId="77777777" w:rsidR="00854FB4" w:rsidRPr="00854FB4" w:rsidRDefault="00854FB4" w:rsidP="00854FB4">
      <w:pPr>
        <w:jc w:val="both"/>
        <w:rPr>
          <w:b/>
          <w:sz w:val="20"/>
          <w:szCs w:val="20"/>
        </w:rPr>
      </w:pPr>
      <w:r w:rsidRPr="00854FB4">
        <w:rPr>
          <w:b/>
          <w:sz w:val="20"/>
          <w:szCs w:val="20"/>
        </w:rPr>
        <w:t>Structure de l’enveloppe électronique et fichiers et/ou dossiers à insérer</w:t>
      </w:r>
    </w:p>
    <w:p w14:paraId="1505FE36" w14:textId="77777777" w:rsidR="00854FB4" w:rsidRPr="00854FB4" w:rsidRDefault="00854FB4" w:rsidP="00854FB4">
      <w:pPr>
        <w:ind w:left="1134"/>
        <w:jc w:val="both"/>
        <w:rPr>
          <w:sz w:val="20"/>
          <w:szCs w:val="20"/>
        </w:rPr>
      </w:pPr>
      <w:r w:rsidRPr="00854FB4">
        <w:rPr>
          <w:sz w:val="20"/>
          <w:szCs w:val="20"/>
        </w:rPr>
        <w:t>L’outil d’assistance au dépôt de réponses par voie électronique permet de déposer des fichiers et/ou des dossiers. D’une façon générale, il est conseillé de numéroter les fichiers par ordre logique de présentation et en utilisant systématiquement deux chiffres (ex. : 01, 02, 03 …). Les fichiers et/ou les dossiers sont à insérer dans la structure d’enveloppe telle que prévue par l’Acheteur.</w:t>
      </w:r>
    </w:p>
    <w:p w14:paraId="21F62B05" w14:textId="77777777" w:rsidR="00854FB4" w:rsidRPr="00854FB4" w:rsidRDefault="00854FB4" w:rsidP="00854FB4">
      <w:pPr>
        <w:jc w:val="both"/>
        <w:rPr>
          <w:iCs/>
          <w:sz w:val="4"/>
          <w:szCs w:val="4"/>
        </w:rPr>
      </w:pPr>
    </w:p>
    <w:p w14:paraId="7BDD2AA4" w14:textId="77777777" w:rsidR="00854FB4" w:rsidRPr="00854FB4" w:rsidRDefault="00854FB4" w:rsidP="00854FB4">
      <w:pPr>
        <w:ind w:left="1134" w:hanging="1134"/>
        <w:jc w:val="both"/>
        <w:rPr>
          <w:sz w:val="20"/>
          <w:szCs w:val="20"/>
        </w:rPr>
      </w:pPr>
      <w:r w:rsidRPr="00854FB4">
        <w:rPr>
          <w:b/>
          <w:sz w:val="20"/>
          <w:szCs w:val="20"/>
        </w:rPr>
        <w:lastRenderedPageBreak/>
        <w:t>Volume maximal transmissible</w:t>
      </w:r>
      <w:r w:rsidRPr="00854FB4">
        <w:rPr>
          <w:sz w:val="21"/>
          <w:szCs w:val="21"/>
        </w:rPr>
        <w:tab/>
      </w:r>
      <w:r w:rsidRPr="00854FB4">
        <w:rPr>
          <w:sz w:val="20"/>
          <w:szCs w:val="20"/>
        </w:rPr>
        <w:t xml:space="preserve">L’Acheteur souhaite que la taille maximale de la totalité des documents transmis n’excède pas </w:t>
      </w:r>
      <w:r w:rsidRPr="00457D56">
        <w:rPr>
          <w:i/>
          <w:sz w:val="20"/>
          <w:szCs w:val="20"/>
        </w:rPr>
        <w:t>[taille en Mo, par fichier et/ou au total, à préciser au cas par cas]</w:t>
      </w:r>
      <w:r w:rsidRPr="00457D56">
        <w:rPr>
          <w:rStyle w:val="Appelnotedebasdep"/>
          <w:sz w:val="20"/>
          <w:szCs w:val="20"/>
        </w:rPr>
        <w:footnoteReference w:id="2"/>
      </w:r>
      <w:r w:rsidRPr="00457D56">
        <w:rPr>
          <w:sz w:val="20"/>
          <w:szCs w:val="20"/>
        </w:rPr>
        <w:t>.</w:t>
      </w:r>
      <w:r w:rsidRPr="00854FB4">
        <w:rPr>
          <w:sz w:val="20"/>
          <w:szCs w:val="20"/>
        </w:rPr>
        <w:t xml:space="preserve"> Il est ici rappelé que, en application de l’article R2143-13, les documents justificatifs de candidature peuvent être stockés au préalable dans un espace de stockage numérique pour autant que l’accès à cet espace soit gratuit pour l’Acheteur et que toutes les informations nécessaires à sa consultation figurent dans le dossier de candidature.</w:t>
      </w:r>
    </w:p>
    <w:p w14:paraId="6EB9CEE2" w14:textId="77777777" w:rsidR="00854FB4" w:rsidRPr="00854FB4" w:rsidRDefault="00854FB4" w:rsidP="00854FB4">
      <w:pPr>
        <w:jc w:val="both"/>
        <w:rPr>
          <w:iCs/>
          <w:sz w:val="4"/>
          <w:szCs w:val="4"/>
        </w:rPr>
      </w:pPr>
    </w:p>
    <w:p w14:paraId="6942B74C" w14:textId="77777777" w:rsidR="00854FB4" w:rsidRPr="00854FB4" w:rsidRDefault="00854FB4" w:rsidP="00854FB4">
      <w:pPr>
        <w:ind w:left="1134" w:hanging="1134"/>
        <w:jc w:val="both"/>
        <w:rPr>
          <w:sz w:val="20"/>
          <w:szCs w:val="20"/>
        </w:rPr>
      </w:pPr>
      <w:r w:rsidRPr="00854FB4">
        <w:rPr>
          <w:b/>
          <w:sz w:val="20"/>
          <w:szCs w:val="20"/>
        </w:rPr>
        <w:t>Horodatage</w:t>
      </w:r>
      <w:r w:rsidRPr="00854FB4">
        <w:rPr>
          <w:sz w:val="21"/>
          <w:szCs w:val="21"/>
        </w:rPr>
        <w:tab/>
      </w:r>
      <w:r w:rsidRPr="00854FB4">
        <w:rPr>
          <w:sz w:val="20"/>
          <w:szCs w:val="20"/>
        </w:rPr>
        <w:t>L’horodatage du dépôt est réalisé au moment où le dernier octet constitutif de votre réponse est réceptionné par le Profil d’Acheteur. Il est ainsi conseillé de débuter le transfert suffisamment longtemps avant l’heure limite de dépôt et de prendre en compte le volume à transmettre ainsi que le débit de votre connexion Internet.</w:t>
      </w:r>
    </w:p>
    <w:p w14:paraId="3F7EE0E9" w14:textId="77777777" w:rsidR="00854FB4" w:rsidRPr="00854FB4" w:rsidRDefault="00854FB4" w:rsidP="00854FB4">
      <w:pPr>
        <w:jc w:val="both"/>
        <w:rPr>
          <w:iCs/>
          <w:sz w:val="4"/>
          <w:szCs w:val="4"/>
        </w:rPr>
      </w:pPr>
    </w:p>
    <w:p w14:paraId="01871F9E" w14:textId="77777777" w:rsidR="00854FB4" w:rsidRPr="00854FB4" w:rsidRDefault="00854FB4" w:rsidP="00854FB4">
      <w:pPr>
        <w:ind w:left="993" w:hanging="993"/>
        <w:jc w:val="both"/>
        <w:rPr>
          <w:sz w:val="20"/>
          <w:szCs w:val="20"/>
        </w:rPr>
      </w:pPr>
      <w:r w:rsidRPr="00854FB4">
        <w:rPr>
          <w:b/>
          <w:sz w:val="20"/>
          <w:szCs w:val="20"/>
        </w:rPr>
        <w:t>Copie de sauvegarde</w:t>
      </w:r>
    </w:p>
    <w:p w14:paraId="37D4A320" w14:textId="77777777" w:rsidR="00854FB4" w:rsidRPr="00854FB4" w:rsidRDefault="00854FB4" w:rsidP="00854FB4">
      <w:pPr>
        <w:ind w:left="1134"/>
        <w:jc w:val="both"/>
        <w:rPr>
          <w:sz w:val="20"/>
          <w:szCs w:val="20"/>
        </w:rPr>
      </w:pPr>
      <w:r w:rsidRPr="00854FB4">
        <w:rPr>
          <w:sz w:val="20"/>
          <w:szCs w:val="20"/>
        </w:rPr>
        <w:t>Il est ici rappelé, que les soumissionnaires conservent la possibilité de transmettre, en parallèle à leur réponse envoyée par voie électronique, une copie de sauvegarde sous forme papier ou sur support électronique (CD, DVD …).</w:t>
      </w:r>
    </w:p>
    <w:p w14:paraId="7382DB57" w14:textId="59F14C0A" w:rsidR="00854FB4" w:rsidRPr="00854FB4" w:rsidRDefault="004004A4" w:rsidP="00854FB4">
      <w:pPr>
        <w:ind w:left="1418" w:hanging="284"/>
        <w:jc w:val="both"/>
        <w:rPr>
          <w:sz w:val="20"/>
          <w:szCs w:val="20"/>
        </w:rPr>
      </w:pPr>
      <w:r w:rsidRPr="00854FB4">
        <w:rPr>
          <w:noProof/>
          <w:sz w:val="20"/>
          <w:szCs w:val="20"/>
        </w:rPr>
        <w:drawing>
          <wp:inline distT="0" distB="0" distL="0" distR="0" wp14:anchorId="5A1FBC7A" wp14:editId="4501323E">
            <wp:extent cx="161925" cy="1428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sidR="00854FB4" w:rsidRPr="00854FB4">
        <w:rPr>
          <w:sz w:val="20"/>
          <w:szCs w:val="20"/>
        </w:rPr>
        <w:tab/>
        <w:t>Cette copie, pour être éventuellement valablement utilisée, doit parvenir dans les délais impartis pour la remise des candidatures et des offres.</w:t>
      </w:r>
    </w:p>
    <w:p w14:paraId="7E25804E" w14:textId="1D6C08CB" w:rsidR="00854FB4" w:rsidRPr="00854FB4" w:rsidRDefault="004004A4" w:rsidP="00854FB4">
      <w:pPr>
        <w:ind w:left="1418" w:hanging="284"/>
        <w:jc w:val="both"/>
        <w:rPr>
          <w:sz w:val="20"/>
          <w:szCs w:val="20"/>
        </w:rPr>
      </w:pPr>
      <w:r w:rsidRPr="00854FB4">
        <w:rPr>
          <w:noProof/>
          <w:sz w:val="20"/>
          <w:szCs w:val="20"/>
        </w:rPr>
        <w:drawing>
          <wp:inline distT="0" distB="0" distL="0" distR="0" wp14:anchorId="0E8E81F2" wp14:editId="463C96A5">
            <wp:extent cx="161925" cy="14287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sidR="00854FB4" w:rsidRPr="00854FB4">
        <w:rPr>
          <w:sz w:val="20"/>
          <w:szCs w:val="20"/>
        </w:rPr>
        <w:tab/>
        <w:t>L’enveloppe d’envoi doit comporter la mention lisible «</w:t>
      </w:r>
      <w:r w:rsidR="00854FB4" w:rsidRPr="00854FB4">
        <w:rPr>
          <w:caps/>
          <w:sz w:val="20"/>
          <w:szCs w:val="20"/>
          <w:highlight w:val="yellow"/>
        </w:rPr>
        <w:t xml:space="preserve"> </w:t>
      </w:r>
      <w:r w:rsidR="00854FB4" w:rsidRPr="00854FB4">
        <w:rPr>
          <w:b/>
          <w:caps/>
          <w:sz w:val="20"/>
          <w:szCs w:val="20"/>
          <w:highlight w:val="yellow"/>
        </w:rPr>
        <w:t>Copie de sauvegardE</w:t>
      </w:r>
      <w:r w:rsidR="00854FB4" w:rsidRPr="00854FB4">
        <w:rPr>
          <w:caps/>
          <w:sz w:val="20"/>
          <w:szCs w:val="20"/>
          <w:highlight w:val="yellow"/>
        </w:rPr>
        <w:t xml:space="preserve"> </w:t>
      </w:r>
      <w:r w:rsidR="00854FB4" w:rsidRPr="00854FB4">
        <w:rPr>
          <w:sz w:val="20"/>
          <w:szCs w:val="20"/>
        </w:rPr>
        <w:t>».</w:t>
      </w:r>
    </w:p>
    <w:p w14:paraId="7FB81928" w14:textId="77777777" w:rsidR="00854FB4" w:rsidRPr="00854FB4" w:rsidRDefault="00854FB4" w:rsidP="00854FB4">
      <w:pPr>
        <w:ind w:left="1134"/>
        <w:jc w:val="both"/>
        <w:rPr>
          <w:sz w:val="20"/>
          <w:szCs w:val="20"/>
        </w:rPr>
      </w:pPr>
      <w:r w:rsidRPr="00854FB4">
        <w:rPr>
          <w:sz w:val="20"/>
          <w:szCs w:val="20"/>
        </w:rPr>
        <w:t>L’envoi d’une copie de sauvegarde n’est pas une obligation, c’est un droit du soumissionnaire qui peut décider ou non de l’exercer.</w:t>
      </w:r>
    </w:p>
    <w:p w14:paraId="54AA183A" w14:textId="77777777" w:rsidR="00854FB4" w:rsidRPr="00854FB4" w:rsidRDefault="00854FB4" w:rsidP="00854FB4">
      <w:pPr>
        <w:jc w:val="both"/>
        <w:rPr>
          <w:iCs/>
          <w:sz w:val="4"/>
          <w:szCs w:val="4"/>
        </w:rPr>
      </w:pPr>
    </w:p>
    <w:p w14:paraId="1C705D49" w14:textId="77777777" w:rsidR="00854FB4" w:rsidRPr="00854FB4" w:rsidRDefault="00854FB4" w:rsidP="00854FB4">
      <w:pPr>
        <w:ind w:left="1134" w:hanging="1134"/>
        <w:jc w:val="both"/>
        <w:rPr>
          <w:sz w:val="20"/>
          <w:szCs w:val="20"/>
        </w:rPr>
      </w:pPr>
      <w:r w:rsidRPr="00854FB4">
        <w:rPr>
          <w:b/>
          <w:sz w:val="20"/>
          <w:szCs w:val="20"/>
        </w:rPr>
        <w:t>Assistance</w:t>
      </w:r>
      <w:r w:rsidRPr="00854FB4">
        <w:rPr>
          <w:sz w:val="20"/>
          <w:szCs w:val="20"/>
        </w:rPr>
        <w:tab/>
        <w:t>Pour toute question relative au dépôt de réponses électroniques, le numéro à la disposition des soumissionnaires est :</w:t>
      </w:r>
      <w:r w:rsidRPr="00854FB4">
        <w:rPr>
          <w:sz w:val="20"/>
          <w:szCs w:val="20"/>
        </w:rPr>
        <w:br/>
      </w:r>
      <w:r w:rsidRPr="00854FB4">
        <w:rPr>
          <w:sz w:val="20"/>
          <w:szCs w:val="20"/>
          <w:highlight w:val="yellow"/>
        </w:rPr>
        <w:t>04 92 90 93 27</w:t>
      </w:r>
      <w:r w:rsidRPr="00854FB4">
        <w:rPr>
          <w:sz w:val="20"/>
          <w:szCs w:val="20"/>
        </w:rPr>
        <w:t>.</w:t>
      </w:r>
    </w:p>
    <w:p w14:paraId="1DB788CC" w14:textId="77777777" w:rsidR="008D0A9D" w:rsidRPr="00854FB4" w:rsidRDefault="008D0A9D">
      <w:pPr>
        <w:tabs>
          <w:tab w:val="left" w:pos="3240"/>
        </w:tabs>
        <w:rPr>
          <w:sz w:val="22"/>
          <w:szCs w:val="22"/>
        </w:rPr>
      </w:pPr>
    </w:p>
    <w:p w14:paraId="2507B455" w14:textId="77777777" w:rsidR="00A66F73" w:rsidRDefault="00072069">
      <w:pPr>
        <w:tabs>
          <w:tab w:val="left" w:pos="2160"/>
        </w:tabs>
        <w:rPr>
          <w:sz w:val="22"/>
          <w:szCs w:val="22"/>
        </w:rPr>
      </w:pPr>
      <w:r>
        <w:rPr>
          <w:i/>
          <w:sz w:val="22"/>
          <w:szCs w:val="22"/>
          <w:u w:val="single"/>
        </w:rPr>
        <w:t>Heures d’ouvertures </w:t>
      </w:r>
      <w:r w:rsidR="00536A90">
        <w:rPr>
          <w:i/>
          <w:sz w:val="22"/>
          <w:szCs w:val="22"/>
          <w:u w:val="single"/>
        </w:rPr>
        <w:t>du service</w:t>
      </w:r>
      <w:r w:rsidR="00506D28">
        <w:rPr>
          <w:i/>
          <w:sz w:val="22"/>
          <w:szCs w:val="22"/>
          <w:u w:val="single"/>
        </w:rPr>
        <w:t xml:space="preserve"> </w:t>
      </w:r>
      <w:r>
        <w:rPr>
          <w:i/>
          <w:sz w:val="22"/>
          <w:szCs w:val="22"/>
          <w:u w:val="single"/>
        </w:rPr>
        <w:t>:</w:t>
      </w:r>
      <w:r w:rsidR="00536A90">
        <w:rPr>
          <w:sz w:val="22"/>
          <w:szCs w:val="22"/>
        </w:rPr>
        <w:t xml:space="preserve"> </w:t>
      </w:r>
      <w:r w:rsidR="00536A90" w:rsidRPr="00A66F73">
        <w:rPr>
          <w:sz w:val="22"/>
          <w:szCs w:val="22"/>
        </w:rPr>
        <w:t>L</w:t>
      </w:r>
      <w:r w:rsidRPr="00A66F73">
        <w:rPr>
          <w:sz w:val="22"/>
          <w:szCs w:val="22"/>
        </w:rPr>
        <w:t>undi</w:t>
      </w:r>
      <w:r w:rsidR="00A66F73" w:rsidRPr="00A66F73">
        <w:rPr>
          <w:sz w:val="22"/>
          <w:szCs w:val="22"/>
        </w:rPr>
        <w:t xml:space="preserve"> (de 13h30 à 17h00)</w:t>
      </w:r>
    </w:p>
    <w:p w14:paraId="339DD987" w14:textId="77777777" w:rsidR="00A66F73" w:rsidRDefault="00A66F73">
      <w:pPr>
        <w:tabs>
          <w:tab w:val="left" w:pos="2160"/>
        </w:tabs>
        <w:rPr>
          <w:sz w:val="22"/>
          <w:szCs w:val="22"/>
        </w:rPr>
      </w:pPr>
      <w:r>
        <w:rPr>
          <w:sz w:val="22"/>
          <w:szCs w:val="22"/>
        </w:rPr>
        <w:t xml:space="preserve">                                                     </w:t>
      </w:r>
      <w:r w:rsidR="00536A90" w:rsidRPr="00A66F73">
        <w:rPr>
          <w:sz w:val="22"/>
          <w:szCs w:val="22"/>
        </w:rPr>
        <w:t xml:space="preserve">Mardi, </w:t>
      </w:r>
      <w:r w:rsidR="007451F2" w:rsidRPr="00A66F73">
        <w:rPr>
          <w:sz w:val="22"/>
          <w:szCs w:val="22"/>
        </w:rPr>
        <w:t xml:space="preserve">Mercredi, </w:t>
      </w:r>
      <w:r w:rsidR="00536A90" w:rsidRPr="00A66F73">
        <w:rPr>
          <w:sz w:val="22"/>
          <w:szCs w:val="22"/>
        </w:rPr>
        <w:t>Jeudi</w:t>
      </w:r>
      <w:r w:rsidRPr="00A66F73">
        <w:rPr>
          <w:sz w:val="22"/>
          <w:szCs w:val="22"/>
        </w:rPr>
        <w:t xml:space="preserve"> (8h00 à 12h00 et de 13h30 à 17h00)</w:t>
      </w:r>
      <w:r w:rsidR="00536A90" w:rsidRPr="00A66F73">
        <w:rPr>
          <w:sz w:val="22"/>
          <w:szCs w:val="22"/>
        </w:rPr>
        <w:t xml:space="preserve"> </w:t>
      </w:r>
    </w:p>
    <w:p w14:paraId="49AECFCF" w14:textId="77777777" w:rsidR="00072069" w:rsidRDefault="00A66F73">
      <w:pPr>
        <w:tabs>
          <w:tab w:val="left" w:pos="2160"/>
        </w:tabs>
        <w:rPr>
          <w:sz w:val="22"/>
          <w:szCs w:val="22"/>
        </w:rPr>
      </w:pPr>
      <w:r>
        <w:rPr>
          <w:sz w:val="22"/>
          <w:szCs w:val="22"/>
        </w:rPr>
        <w:t xml:space="preserve">                                                     </w:t>
      </w:r>
      <w:r w:rsidR="00536A90" w:rsidRPr="00A66F73">
        <w:rPr>
          <w:sz w:val="22"/>
          <w:szCs w:val="22"/>
        </w:rPr>
        <w:t>V</w:t>
      </w:r>
      <w:r w:rsidR="00072069" w:rsidRPr="00A66F73">
        <w:rPr>
          <w:sz w:val="22"/>
          <w:szCs w:val="22"/>
        </w:rPr>
        <w:t>endredi </w:t>
      </w:r>
      <w:r w:rsidRPr="00A66F73">
        <w:rPr>
          <w:sz w:val="22"/>
          <w:szCs w:val="22"/>
        </w:rPr>
        <w:t>(</w:t>
      </w:r>
      <w:r w:rsidR="00072069" w:rsidRPr="00A66F73">
        <w:rPr>
          <w:sz w:val="22"/>
          <w:szCs w:val="22"/>
        </w:rPr>
        <w:t xml:space="preserve">de </w:t>
      </w:r>
      <w:r w:rsidRPr="00A66F73">
        <w:rPr>
          <w:sz w:val="22"/>
          <w:szCs w:val="22"/>
        </w:rPr>
        <w:t>8</w:t>
      </w:r>
      <w:r w:rsidR="00072069" w:rsidRPr="00A66F73">
        <w:rPr>
          <w:sz w:val="22"/>
          <w:szCs w:val="22"/>
        </w:rPr>
        <w:t>h00 à 1</w:t>
      </w:r>
      <w:r w:rsidRPr="00A66F73">
        <w:rPr>
          <w:sz w:val="22"/>
          <w:szCs w:val="22"/>
        </w:rPr>
        <w:t>2</w:t>
      </w:r>
      <w:r w:rsidR="00072069" w:rsidRPr="00A66F73">
        <w:rPr>
          <w:sz w:val="22"/>
          <w:szCs w:val="22"/>
        </w:rPr>
        <w:t>h</w:t>
      </w:r>
      <w:r w:rsidR="00CE65DD" w:rsidRPr="00A66F73">
        <w:rPr>
          <w:sz w:val="22"/>
          <w:szCs w:val="22"/>
        </w:rPr>
        <w:t>0</w:t>
      </w:r>
      <w:r w:rsidR="00072069" w:rsidRPr="00A66F73">
        <w:rPr>
          <w:sz w:val="22"/>
          <w:szCs w:val="22"/>
        </w:rPr>
        <w:t>0</w:t>
      </w:r>
      <w:r w:rsidRPr="00A66F73">
        <w:rPr>
          <w:sz w:val="22"/>
          <w:szCs w:val="22"/>
        </w:rPr>
        <w:t>)</w:t>
      </w:r>
      <w:r w:rsidR="00CE65DD" w:rsidRPr="00CE65DD">
        <w:rPr>
          <w:sz w:val="22"/>
          <w:szCs w:val="22"/>
          <w:u w:val="single"/>
        </w:rPr>
        <w:t xml:space="preserve"> </w:t>
      </w:r>
    </w:p>
    <w:p w14:paraId="526701C7" w14:textId="77777777" w:rsidR="00072069" w:rsidRDefault="00072069" w:rsidP="00506D28">
      <w:pPr>
        <w:tabs>
          <w:tab w:val="left" w:pos="2160"/>
        </w:tabs>
        <w:ind w:left="1800"/>
        <w:rPr>
          <w:sz w:val="22"/>
          <w:szCs w:val="22"/>
        </w:rPr>
      </w:pPr>
      <w:r>
        <w:rPr>
          <w:sz w:val="22"/>
          <w:szCs w:val="22"/>
        </w:rPr>
        <w:tab/>
      </w:r>
    </w:p>
    <w:p w14:paraId="54BC175E" w14:textId="24B3D13E" w:rsidR="009D677C" w:rsidRPr="00506D28" w:rsidRDefault="00072069" w:rsidP="00506D28">
      <w:pPr>
        <w:spacing w:before="120"/>
        <w:rPr>
          <w:b/>
          <w:sz w:val="22"/>
          <w:szCs w:val="22"/>
        </w:rPr>
      </w:pPr>
      <w:r>
        <w:rPr>
          <w:i/>
          <w:sz w:val="22"/>
          <w:szCs w:val="22"/>
          <w:u w:val="single"/>
        </w:rPr>
        <w:t>Date limite de réception des offres</w:t>
      </w:r>
      <w:r>
        <w:rPr>
          <w:sz w:val="22"/>
          <w:szCs w:val="22"/>
        </w:rPr>
        <w:t xml:space="preserve"> : </w:t>
      </w:r>
      <w:r w:rsidR="009D677C">
        <w:rPr>
          <w:sz w:val="22"/>
          <w:szCs w:val="22"/>
        </w:rPr>
        <w:t>Le</w:t>
      </w:r>
      <w:r w:rsidR="008743F4">
        <w:rPr>
          <w:sz w:val="22"/>
          <w:szCs w:val="22"/>
        </w:rPr>
        <w:t xml:space="preserve"> </w:t>
      </w:r>
      <w:r w:rsidR="00344332">
        <w:rPr>
          <w:sz w:val="22"/>
          <w:szCs w:val="22"/>
        </w:rPr>
        <w:t>Vendredi 1</w:t>
      </w:r>
      <w:r w:rsidR="00702ACD">
        <w:rPr>
          <w:sz w:val="22"/>
          <w:szCs w:val="22"/>
        </w:rPr>
        <w:t>6</w:t>
      </w:r>
      <w:r w:rsidR="00344332">
        <w:rPr>
          <w:sz w:val="22"/>
          <w:szCs w:val="22"/>
        </w:rPr>
        <w:t xml:space="preserve"> Janvier 202</w:t>
      </w:r>
      <w:r w:rsidR="00B504DB">
        <w:rPr>
          <w:sz w:val="22"/>
          <w:szCs w:val="22"/>
        </w:rPr>
        <w:t>6</w:t>
      </w:r>
      <w:r w:rsidR="009D677C">
        <w:rPr>
          <w:sz w:val="22"/>
          <w:szCs w:val="22"/>
        </w:rPr>
        <w:t xml:space="preserve"> </w:t>
      </w:r>
      <w:r w:rsidR="008743F4">
        <w:rPr>
          <w:sz w:val="22"/>
          <w:szCs w:val="22"/>
        </w:rPr>
        <w:t>à 1</w:t>
      </w:r>
      <w:r w:rsidR="00176018">
        <w:rPr>
          <w:sz w:val="22"/>
          <w:szCs w:val="22"/>
        </w:rPr>
        <w:t>2</w:t>
      </w:r>
      <w:r w:rsidR="00665363">
        <w:rPr>
          <w:sz w:val="22"/>
          <w:szCs w:val="22"/>
        </w:rPr>
        <w:t>h</w:t>
      </w:r>
      <w:r w:rsidR="00A66F73">
        <w:rPr>
          <w:sz w:val="22"/>
          <w:szCs w:val="22"/>
        </w:rPr>
        <w:t>0</w:t>
      </w:r>
      <w:r w:rsidR="00665363">
        <w:rPr>
          <w:sz w:val="22"/>
          <w:szCs w:val="22"/>
        </w:rPr>
        <w:t>0</w:t>
      </w:r>
    </w:p>
    <w:p w14:paraId="4ED95673" w14:textId="77777777" w:rsidR="00072069" w:rsidRPr="00A66F73" w:rsidRDefault="00072069">
      <w:pPr>
        <w:spacing w:before="120" w:after="120"/>
        <w:rPr>
          <w:i/>
          <w:sz w:val="22"/>
          <w:szCs w:val="22"/>
          <w:u w:val="single"/>
        </w:rPr>
      </w:pPr>
      <w:r>
        <w:rPr>
          <w:i/>
          <w:sz w:val="22"/>
          <w:szCs w:val="22"/>
          <w:u w:val="single"/>
        </w:rPr>
        <w:t xml:space="preserve">Les critères d’attributions : </w:t>
      </w:r>
    </w:p>
    <w:tbl>
      <w:tblPr>
        <w:tblW w:w="4396" w:type="dxa"/>
        <w:tblLayout w:type="fixed"/>
        <w:tblCellMar>
          <w:left w:w="70" w:type="dxa"/>
          <w:right w:w="70" w:type="dxa"/>
        </w:tblCellMar>
        <w:tblLook w:val="0000" w:firstRow="0" w:lastRow="0" w:firstColumn="0" w:lastColumn="0" w:noHBand="0" w:noVBand="0"/>
      </w:tblPr>
      <w:tblGrid>
        <w:gridCol w:w="284"/>
        <w:gridCol w:w="284"/>
        <w:gridCol w:w="353"/>
        <w:gridCol w:w="3475"/>
      </w:tblGrid>
      <w:tr w:rsidR="00CE65DD" w14:paraId="6D1EA235" w14:textId="77777777" w:rsidTr="00211407">
        <w:tc>
          <w:tcPr>
            <w:tcW w:w="284" w:type="dxa"/>
            <w:tcBorders>
              <w:left w:val="single" w:sz="4" w:space="0" w:color="auto"/>
              <w:bottom w:val="single" w:sz="4" w:space="0" w:color="auto"/>
              <w:right w:val="single" w:sz="4" w:space="0" w:color="auto"/>
            </w:tcBorders>
          </w:tcPr>
          <w:p w14:paraId="02D669CD" w14:textId="7C375D13" w:rsidR="00CE65DD" w:rsidRDefault="008E046C" w:rsidP="008743F4">
            <w:pPr>
              <w:spacing w:before="120" w:after="120"/>
              <w:rPr>
                <w:sz w:val="22"/>
                <w:szCs w:val="22"/>
              </w:rPr>
            </w:pPr>
            <w:r>
              <w:rPr>
                <w:sz w:val="22"/>
                <w:szCs w:val="22"/>
              </w:rPr>
              <w:t>7</w:t>
            </w:r>
          </w:p>
        </w:tc>
        <w:tc>
          <w:tcPr>
            <w:tcW w:w="284" w:type="dxa"/>
            <w:tcBorders>
              <w:left w:val="single" w:sz="4" w:space="0" w:color="auto"/>
              <w:bottom w:val="single" w:sz="4" w:space="0" w:color="auto"/>
              <w:right w:val="single" w:sz="4" w:space="0" w:color="auto"/>
            </w:tcBorders>
          </w:tcPr>
          <w:p w14:paraId="76A57FC9" w14:textId="77777777" w:rsidR="00CE65DD" w:rsidRDefault="00CE65DD" w:rsidP="008743F4">
            <w:pPr>
              <w:spacing w:before="120" w:after="120"/>
              <w:rPr>
                <w:sz w:val="22"/>
                <w:szCs w:val="22"/>
              </w:rPr>
            </w:pPr>
            <w:r>
              <w:rPr>
                <w:sz w:val="22"/>
                <w:szCs w:val="22"/>
              </w:rPr>
              <w:t>0</w:t>
            </w:r>
          </w:p>
        </w:tc>
        <w:tc>
          <w:tcPr>
            <w:tcW w:w="353" w:type="dxa"/>
            <w:tcBorders>
              <w:left w:val="nil"/>
            </w:tcBorders>
          </w:tcPr>
          <w:p w14:paraId="46244991" w14:textId="77777777" w:rsidR="00CE65DD" w:rsidRDefault="00160E5D" w:rsidP="008743F4">
            <w:pPr>
              <w:spacing w:before="120" w:after="120"/>
              <w:rPr>
                <w:sz w:val="22"/>
                <w:szCs w:val="22"/>
              </w:rPr>
            </w:pPr>
            <w:r>
              <w:rPr>
                <w:sz w:val="22"/>
                <w:szCs w:val="22"/>
              </w:rPr>
              <w:t>%</w:t>
            </w:r>
          </w:p>
        </w:tc>
        <w:tc>
          <w:tcPr>
            <w:tcW w:w="3475" w:type="dxa"/>
          </w:tcPr>
          <w:p w14:paraId="792720B4" w14:textId="77777777" w:rsidR="00CE65DD" w:rsidRDefault="00211407" w:rsidP="008743F4">
            <w:pPr>
              <w:spacing w:before="120" w:after="120"/>
              <w:rPr>
                <w:sz w:val="22"/>
                <w:szCs w:val="22"/>
              </w:rPr>
            </w:pPr>
            <w:r>
              <w:rPr>
                <w:sz w:val="22"/>
                <w:szCs w:val="22"/>
              </w:rPr>
              <w:t>Valeur technique</w:t>
            </w:r>
            <w:r w:rsidR="00A66F73">
              <w:rPr>
                <w:sz w:val="22"/>
                <w:szCs w:val="22"/>
              </w:rPr>
              <w:t xml:space="preserve"> </w:t>
            </w:r>
          </w:p>
        </w:tc>
      </w:tr>
      <w:tr w:rsidR="00160E5D" w14:paraId="6F49D3FA" w14:textId="77777777" w:rsidTr="00211407">
        <w:tc>
          <w:tcPr>
            <w:tcW w:w="284" w:type="dxa"/>
            <w:tcBorders>
              <w:left w:val="single" w:sz="4" w:space="0" w:color="auto"/>
              <w:bottom w:val="single" w:sz="4" w:space="0" w:color="auto"/>
              <w:right w:val="single" w:sz="4" w:space="0" w:color="auto"/>
            </w:tcBorders>
          </w:tcPr>
          <w:p w14:paraId="4B41BF2B" w14:textId="11EAD16C" w:rsidR="00160E5D" w:rsidRDefault="008E046C" w:rsidP="00160E5D">
            <w:pPr>
              <w:spacing w:before="120" w:after="120"/>
              <w:rPr>
                <w:sz w:val="22"/>
                <w:szCs w:val="22"/>
              </w:rPr>
            </w:pPr>
            <w:r>
              <w:rPr>
                <w:sz w:val="22"/>
                <w:szCs w:val="22"/>
              </w:rPr>
              <w:t>3</w:t>
            </w:r>
          </w:p>
        </w:tc>
        <w:tc>
          <w:tcPr>
            <w:tcW w:w="284" w:type="dxa"/>
            <w:tcBorders>
              <w:left w:val="single" w:sz="4" w:space="0" w:color="auto"/>
              <w:bottom w:val="single" w:sz="4" w:space="0" w:color="auto"/>
              <w:right w:val="single" w:sz="4" w:space="0" w:color="auto"/>
            </w:tcBorders>
          </w:tcPr>
          <w:p w14:paraId="344FAE76" w14:textId="77777777" w:rsidR="00160E5D" w:rsidRDefault="008C4733" w:rsidP="00160E5D">
            <w:pPr>
              <w:spacing w:before="120" w:after="120"/>
              <w:rPr>
                <w:sz w:val="22"/>
                <w:szCs w:val="22"/>
              </w:rPr>
            </w:pPr>
            <w:r>
              <w:rPr>
                <w:sz w:val="22"/>
                <w:szCs w:val="22"/>
              </w:rPr>
              <w:t>0</w:t>
            </w:r>
          </w:p>
        </w:tc>
        <w:tc>
          <w:tcPr>
            <w:tcW w:w="353" w:type="dxa"/>
            <w:tcBorders>
              <w:left w:val="nil"/>
            </w:tcBorders>
          </w:tcPr>
          <w:p w14:paraId="6FE4B689" w14:textId="77777777" w:rsidR="00160E5D" w:rsidRDefault="00160E5D" w:rsidP="00160E5D">
            <w:pPr>
              <w:spacing w:before="120" w:after="120"/>
              <w:rPr>
                <w:sz w:val="22"/>
                <w:szCs w:val="22"/>
              </w:rPr>
            </w:pPr>
            <w:r>
              <w:rPr>
                <w:sz w:val="22"/>
                <w:szCs w:val="22"/>
              </w:rPr>
              <w:t>%</w:t>
            </w:r>
          </w:p>
        </w:tc>
        <w:tc>
          <w:tcPr>
            <w:tcW w:w="3475" w:type="dxa"/>
          </w:tcPr>
          <w:p w14:paraId="343BA586" w14:textId="77777777" w:rsidR="00160E5D" w:rsidRDefault="008C4733" w:rsidP="00160E5D">
            <w:pPr>
              <w:spacing w:before="120" w:after="120"/>
              <w:rPr>
                <w:sz w:val="22"/>
                <w:szCs w:val="22"/>
              </w:rPr>
            </w:pPr>
            <w:r>
              <w:rPr>
                <w:sz w:val="22"/>
                <w:szCs w:val="22"/>
              </w:rPr>
              <w:t>P</w:t>
            </w:r>
            <w:r w:rsidR="00211407">
              <w:rPr>
                <w:sz w:val="22"/>
                <w:szCs w:val="22"/>
              </w:rPr>
              <w:t>rix</w:t>
            </w:r>
          </w:p>
        </w:tc>
      </w:tr>
    </w:tbl>
    <w:p w14:paraId="7E5616E7" w14:textId="77777777" w:rsidR="00072069" w:rsidRDefault="00072069">
      <w:pPr>
        <w:tabs>
          <w:tab w:val="left" w:pos="2160"/>
        </w:tabs>
        <w:rPr>
          <w:i/>
          <w:sz w:val="22"/>
          <w:szCs w:val="22"/>
          <w:u w:val="single"/>
        </w:rPr>
      </w:pPr>
    </w:p>
    <w:p w14:paraId="47B98A23" w14:textId="61D87E06" w:rsidR="00072069" w:rsidRDefault="00072069">
      <w:pPr>
        <w:tabs>
          <w:tab w:val="left" w:pos="2160"/>
        </w:tabs>
        <w:rPr>
          <w:sz w:val="22"/>
          <w:szCs w:val="22"/>
        </w:rPr>
      </w:pPr>
      <w:r>
        <w:rPr>
          <w:sz w:val="22"/>
          <w:szCs w:val="22"/>
        </w:rPr>
        <w:t>L’offre la moins disante remportera le maximum de points (</w:t>
      </w:r>
      <w:r w:rsidR="008E046C">
        <w:rPr>
          <w:sz w:val="22"/>
          <w:szCs w:val="22"/>
        </w:rPr>
        <w:t>3</w:t>
      </w:r>
      <w:r w:rsidR="008C4733">
        <w:rPr>
          <w:sz w:val="22"/>
          <w:szCs w:val="22"/>
        </w:rPr>
        <w:t>0</w:t>
      </w:r>
      <w:r>
        <w:rPr>
          <w:sz w:val="22"/>
          <w:szCs w:val="22"/>
        </w:rPr>
        <w:t>) les autres offres obtiendront une note diminuée proportionnellement au pourcentage les séparant de l’offre la moins disante selon la formule suivante : (prix le moins élevé / prix proposé par le candida</w:t>
      </w:r>
      <w:r w:rsidR="008743F4">
        <w:rPr>
          <w:sz w:val="22"/>
          <w:szCs w:val="22"/>
        </w:rPr>
        <w:t xml:space="preserve">t dont l’offre est analysée) x </w:t>
      </w:r>
      <w:r w:rsidR="008E046C">
        <w:rPr>
          <w:sz w:val="22"/>
          <w:szCs w:val="22"/>
        </w:rPr>
        <w:t>3</w:t>
      </w:r>
      <w:r w:rsidR="008C4733">
        <w:rPr>
          <w:sz w:val="22"/>
          <w:szCs w:val="22"/>
        </w:rPr>
        <w:t>0</w:t>
      </w:r>
      <w:r>
        <w:rPr>
          <w:sz w:val="22"/>
          <w:szCs w:val="22"/>
        </w:rPr>
        <w:t xml:space="preserve">. </w:t>
      </w:r>
    </w:p>
    <w:p w14:paraId="33F5420C" w14:textId="77777777" w:rsidR="00072069" w:rsidRDefault="00072069">
      <w:pPr>
        <w:tabs>
          <w:tab w:val="left" w:pos="2160"/>
        </w:tabs>
        <w:rPr>
          <w:sz w:val="22"/>
          <w:szCs w:val="22"/>
        </w:rPr>
      </w:pPr>
    </w:p>
    <w:p w14:paraId="62F39E53" w14:textId="77777777" w:rsidR="00284FE0" w:rsidRDefault="00284FE0" w:rsidP="00A83465">
      <w:pPr>
        <w:rPr>
          <w:sz w:val="22"/>
          <w:szCs w:val="22"/>
        </w:rPr>
      </w:pPr>
      <w:r>
        <w:rPr>
          <w:sz w:val="22"/>
          <w:szCs w:val="22"/>
        </w:rPr>
        <w:t>De plus le candidat devra présenter dans son offre des références à assurer un projet de cette envergure.</w:t>
      </w:r>
    </w:p>
    <w:p w14:paraId="370DB96F" w14:textId="77777777" w:rsidR="00284FE0" w:rsidRDefault="00284FE0" w:rsidP="00A83465"/>
    <w:p w14:paraId="248FA4A7" w14:textId="3B32FB30" w:rsidR="00A83465" w:rsidRPr="00080F5F" w:rsidRDefault="00284FE0" w:rsidP="00A83465">
      <w:pPr>
        <w:rPr>
          <w:sz w:val="22"/>
        </w:rPr>
      </w:pPr>
      <w:r w:rsidRPr="00080F5F">
        <w:rPr>
          <w:sz w:val="22"/>
        </w:rPr>
        <w:t xml:space="preserve">Une visite sur site est </w:t>
      </w:r>
      <w:r w:rsidR="008E046C">
        <w:rPr>
          <w:sz w:val="22"/>
        </w:rPr>
        <w:t>conseillée</w:t>
      </w:r>
      <w:r w:rsidR="00A83465" w:rsidRPr="00080F5F">
        <w:rPr>
          <w:sz w:val="22"/>
        </w:rPr>
        <w:t>.</w:t>
      </w:r>
    </w:p>
    <w:p w14:paraId="35AC5F87" w14:textId="77777777" w:rsidR="007451F2" w:rsidRDefault="007451F2">
      <w:pPr>
        <w:tabs>
          <w:tab w:val="left" w:pos="2160"/>
        </w:tabs>
        <w:rPr>
          <w:i/>
          <w:sz w:val="22"/>
          <w:szCs w:val="22"/>
          <w:u w:val="single"/>
        </w:rPr>
      </w:pPr>
    </w:p>
    <w:p w14:paraId="30D9951C" w14:textId="77777777" w:rsidR="00072069" w:rsidRDefault="00072069">
      <w:pPr>
        <w:tabs>
          <w:tab w:val="left" w:pos="2160"/>
        </w:tabs>
        <w:rPr>
          <w:i/>
          <w:sz w:val="22"/>
          <w:szCs w:val="22"/>
          <w:u w:val="single"/>
        </w:rPr>
      </w:pPr>
      <w:r>
        <w:rPr>
          <w:i/>
          <w:sz w:val="22"/>
          <w:szCs w:val="22"/>
          <w:u w:val="single"/>
        </w:rPr>
        <w:t>Les renseignements d’ordre administrati</w:t>
      </w:r>
      <w:r w:rsidR="00964940">
        <w:rPr>
          <w:i/>
          <w:sz w:val="22"/>
          <w:szCs w:val="22"/>
          <w:u w:val="single"/>
        </w:rPr>
        <w:t>f peuvent être obtenus auprès du</w:t>
      </w:r>
      <w:r>
        <w:rPr>
          <w:i/>
          <w:sz w:val="22"/>
          <w:szCs w:val="22"/>
          <w:u w:val="single"/>
        </w:rPr>
        <w:t> :</w:t>
      </w:r>
    </w:p>
    <w:p w14:paraId="263A2F8F" w14:textId="77777777" w:rsidR="008743F4" w:rsidRPr="008743F4" w:rsidRDefault="008743F4" w:rsidP="00211407">
      <w:pPr>
        <w:suppressAutoHyphens/>
        <w:overflowPunct w:val="0"/>
        <w:autoSpaceDE w:val="0"/>
        <w:spacing w:line="0" w:lineRule="atLeast"/>
        <w:textAlignment w:val="baseline"/>
        <w:rPr>
          <w:rFonts w:eastAsia="Tahoma"/>
          <w:sz w:val="22"/>
          <w:szCs w:val="22"/>
          <w:lang w:eastAsia="ar-SA"/>
        </w:rPr>
      </w:pPr>
      <w:r w:rsidRPr="008743F4">
        <w:rPr>
          <w:rFonts w:eastAsia="Tahoma"/>
          <w:sz w:val="22"/>
          <w:szCs w:val="22"/>
          <w:lang w:eastAsia="ar-SA"/>
        </w:rPr>
        <w:t xml:space="preserve"> </w:t>
      </w:r>
    </w:p>
    <w:p w14:paraId="213F595E" w14:textId="77777777" w:rsidR="008743F4" w:rsidRPr="008743F4" w:rsidRDefault="008743F4" w:rsidP="008743F4">
      <w:pPr>
        <w:suppressAutoHyphens/>
        <w:overflowPunct w:val="0"/>
        <w:autoSpaceDE w:val="0"/>
        <w:spacing w:line="0" w:lineRule="atLeast"/>
        <w:ind w:left="260"/>
        <w:textAlignment w:val="baseline"/>
        <w:rPr>
          <w:rFonts w:eastAsia="Tahoma"/>
          <w:sz w:val="22"/>
          <w:szCs w:val="22"/>
          <w:lang w:eastAsia="ar-SA"/>
        </w:rPr>
      </w:pPr>
      <w:r w:rsidRPr="008743F4">
        <w:rPr>
          <w:rFonts w:eastAsia="Tahoma"/>
          <w:sz w:val="22"/>
          <w:szCs w:val="22"/>
          <w:lang w:eastAsia="ar-SA"/>
        </w:rPr>
        <w:tab/>
      </w:r>
      <w:r w:rsidRPr="008743F4">
        <w:rPr>
          <w:rFonts w:eastAsia="Tahoma"/>
          <w:sz w:val="22"/>
          <w:szCs w:val="22"/>
          <w:lang w:eastAsia="ar-SA"/>
        </w:rPr>
        <w:tab/>
        <w:t xml:space="preserve">Madame </w:t>
      </w:r>
      <w:r w:rsidR="00A66F73">
        <w:rPr>
          <w:rFonts w:eastAsia="Tahoma"/>
          <w:sz w:val="22"/>
          <w:szCs w:val="22"/>
          <w:lang w:eastAsia="ar-SA"/>
        </w:rPr>
        <w:t>GAUTHIER au 05.46.91.46.48</w:t>
      </w:r>
    </w:p>
    <w:p w14:paraId="16542B84" w14:textId="77777777" w:rsidR="008743F4" w:rsidRPr="008743F4" w:rsidRDefault="008743F4" w:rsidP="008743F4">
      <w:pPr>
        <w:suppressAutoHyphens/>
        <w:overflowPunct w:val="0"/>
        <w:autoSpaceDE w:val="0"/>
        <w:spacing w:line="0" w:lineRule="atLeast"/>
        <w:ind w:left="260"/>
        <w:textAlignment w:val="baseline"/>
        <w:rPr>
          <w:rFonts w:eastAsia="Tahoma"/>
          <w:sz w:val="22"/>
          <w:szCs w:val="22"/>
          <w:lang w:eastAsia="ar-SA"/>
        </w:rPr>
      </w:pPr>
      <w:r w:rsidRPr="008743F4">
        <w:rPr>
          <w:rFonts w:eastAsia="Tahoma"/>
          <w:sz w:val="22"/>
          <w:szCs w:val="22"/>
          <w:lang w:eastAsia="ar-SA"/>
        </w:rPr>
        <w:tab/>
      </w:r>
      <w:r w:rsidRPr="008743F4">
        <w:rPr>
          <w:rFonts w:eastAsia="Tahoma"/>
          <w:sz w:val="22"/>
          <w:szCs w:val="22"/>
          <w:lang w:eastAsia="ar-SA"/>
        </w:rPr>
        <w:tab/>
        <w:t xml:space="preserve">Courriel : </w:t>
      </w:r>
      <w:hyperlink r:id="rId11" w:history="1">
        <w:r w:rsidR="00A66F73" w:rsidRPr="00F21157">
          <w:rPr>
            <w:rStyle w:val="Lienhypertexte"/>
            <w:rFonts w:eastAsia="Tahoma"/>
            <w:sz w:val="22"/>
            <w:szCs w:val="22"/>
            <w:lang w:eastAsia="ar-SA"/>
          </w:rPr>
          <w:t>j.gauthier@pons-ville.fr</w:t>
        </w:r>
      </w:hyperlink>
    </w:p>
    <w:p w14:paraId="36161B8E" w14:textId="77777777" w:rsidR="00072069" w:rsidRDefault="008743F4" w:rsidP="00EF3A9D">
      <w:pPr>
        <w:suppressAutoHyphens/>
        <w:overflowPunct w:val="0"/>
        <w:autoSpaceDE w:val="0"/>
        <w:spacing w:line="0" w:lineRule="atLeast"/>
        <w:textAlignment w:val="baseline"/>
        <w:rPr>
          <w:rFonts w:eastAsia="Tahoma"/>
          <w:sz w:val="22"/>
          <w:szCs w:val="22"/>
          <w:lang w:eastAsia="ar-SA"/>
        </w:rPr>
      </w:pPr>
      <w:r w:rsidRPr="008743F4">
        <w:rPr>
          <w:rFonts w:eastAsia="Tahoma"/>
          <w:sz w:val="22"/>
          <w:szCs w:val="22"/>
          <w:lang w:eastAsia="ar-SA"/>
        </w:rPr>
        <w:t xml:space="preserve"> </w:t>
      </w:r>
    </w:p>
    <w:p w14:paraId="092BDDB2" w14:textId="77777777" w:rsidR="00A66F73" w:rsidRDefault="00A66F73" w:rsidP="00A66F73">
      <w:pPr>
        <w:tabs>
          <w:tab w:val="left" w:pos="2160"/>
        </w:tabs>
        <w:rPr>
          <w:i/>
          <w:sz w:val="22"/>
          <w:szCs w:val="22"/>
          <w:u w:val="single"/>
        </w:rPr>
      </w:pPr>
      <w:r>
        <w:rPr>
          <w:i/>
          <w:sz w:val="22"/>
          <w:szCs w:val="22"/>
          <w:u w:val="single"/>
        </w:rPr>
        <w:t>Les renseignements d’ordre technique peuvent être obtenus auprès du :</w:t>
      </w:r>
    </w:p>
    <w:p w14:paraId="72E4B799" w14:textId="77777777" w:rsidR="00A66F73" w:rsidRPr="008743F4" w:rsidRDefault="00A66F73" w:rsidP="00A66F73">
      <w:pPr>
        <w:suppressAutoHyphens/>
        <w:overflowPunct w:val="0"/>
        <w:autoSpaceDE w:val="0"/>
        <w:spacing w:line="0" w:lineRule="atLeast"/>
        <w:textAlignment w:val="baseline"/>
        <w:rPr>
          <w:rFonts w:eastAsia="Tahoma"/>
          <w:sz w:val="22"/>
          <w:szCs w:val="22"/>
          <w:lang w:eastAsia="ar-SA"/>
        </w:rPr>
      </w:pPr>
      <w:r w:rsidRPr="008743F4">
        <w:rPr>
          <w:rFonts w:eastAsia="Tahoma"/>
          <w:sz w:val="22"/>
          <w:szCs w:val="22"/>
          <w:lang w:eastAsia="ar-SA"/>
        </w:rPr>
        <w:t xml:space="preserve"> </w:t>
      </w:r>
    </w:p>
    <w:p w14:paraId="4B6462CA" w14:textId="5EE6FB02" w:rsidR="00A66F73" w:rsidRPr="008743F4" w:rsidRDefault="00A66F73" w:rsidP="00A66F73">
      <w:pPr>
        <w:suppressAutoHyphens/>
        <w:overflowPunct w:val="0"/>
        <w:autoSpaceDE w:val="0"/>
        <w:spacing w:line="0" w:lineRule="atLeast"/>
        <w:ind w:left="260"/>
        <w:textAlignment w:val="baseline"/>
        <w:rPr>
          <w:rFonts w:eastAsia="Tahoma"/>
          <w:sz w:val="22"/>
          <w:szCs w:val="22"/>
          <w:lang w:eastAsia="ar-SA"/>
        </w:rPr>
      </w:pPr>
      <w:r w:rsidRPr="008743F4">
        <w:rPr>
          <w:rFonts w:eastAsia="Tahoma"/>
          <w:sz w:val="22"/>
          <w:szCs w:val="22"/>
          <w:lang w:eastAsia="ar-SA"/>
        </w:rPr>
        <w:tab/>
      </w:r>
      <w:r w:rsidRPr="008743F4">
        <w:rPr>
          <w:rFonts w:eastAsia="Tahoma"/>
          <w:sz w:val="22"/>
          <w:szCs w:val="22"/>
          <w:lang w:eastAsia="ar-SA"/>
        </w:rPr>
        <w:tab/>
      </w:r>
      <w:r w:rsidR="008E046C">
        <w:rPr>
          <w:rFonts w:eastAsia="Tahoma"/>
          <w:sz w:val="22"/>
          <w:szCs w:val="22"/>
          <w:lang w:eastAsia="ar-SA"/>
        </w:rPr>
        <w:t>Madame DUPONT</w:t>
      </w:r>
      <w:r>
        <w:rPr>
          <w:rFonts w:eastAsia="Tahoma"/>
          <w:sz w:val="22"/>
          <w:szCs w:val="22"/>
          <w:lang w:eastAsia="ar-SA"/>
        </w:rPr>
        <w:t xml:space="preserve"> au </w:t>
      </w:r>
      <w:r w:rsidR="008E046C">
        <w:rPr>
          <w:rFonts w:eastAsia="Tahoma"/>
          <w:sz w:val="22"/>
          <w:szCs w:val="22"/>
          <w:lang w:eastAsia="ar-SA"/>
        </w:rPr>
        <w:t>06.03.95.50.08</w:t>
      </w:r>
    </w:p>
    <w:p w14:paraId="652EC31C" w14:textId="3A6688AF" w:rsidR="00A66F73" w:rsidRPr="00EF3A9D" w:rsidRDefault="00A66F73" w:rsidP="00A66F73">
      <w:pPr>
        <w:suppressAutoHyphens/>
        <w:overflowPunct w:val="0"/>
        <w:autoSpaceDE w:val="0"/>
        <w:spacing w:line="0" w:lineRule="atLeast"/>
        <w:textAlignment w:val="baseline"/>
        <w:rPr>
          <w:rFonts w:eastAsia="Tahoma"/>
          <w:sz w:val="22"/>
          <w:szCs w:val="22"/>
          <w:lang w:eastAsia="ar-SA"/>
        </w:rPr>
      </w:pPr>
      <w:r w:rsidRPr="008743F4">
        <w:rPr>
          <w:rFonts w:eastAsia="Tahoma"/>
          <w:sz w:val="22"/>
          <w:szCs w:val="22"/>
          <w:lang w:eastAsia="ar-SA"/>
        </w:rPr>
        <w:tab/>
      </w:r>
      <w:r w:rsidRPr="008743F4">
        <w:rPr>
          <w:rFonts w:eastAsia="Tahoma"/>
          <w:sz w:val="22"/>
          <w:szCs w:val="22"/>
          <w:lang w:eastAsia="ar-SA"/>
        </w:rPr>
        <w:tab/>
        <w:t xml:space="preserve">Courriel : </w:t>
      </w:r>
      <w:hyperlink r:id="rId12" w:history="1">
        <w:r w:rsidR="008E046C" w:rsidRPr="009B3CFF">
          <w:rPr>
            <w:rStyle w:val="Lienhypertexte"/>
            <w:rFonts w:eastAsia="Tahoma"/>
            <w:sz w:val="22"/>
            <w:szCs w:val="22"/>
            <w:lang w:eastAsia="ar-SA"/>
          </w:rPr>
          <w:t>a.dupont@pons-ville.fr</w:t>
        </w:r>
      </w:hyperlink>
    </w:p>
    <w:p w14:paraId="4E00004F" w14:textId="77777777" w:rsidR="00A66F73" w:rsidRDefault="00A66F73" w:rsidP="008C4733">
      <w:pPr>
        <w:tabs>
          <w:tab w:val="left" w:pos="3240"/>
        </w:tabs>
        <w:rPr>
          <w:i/>
          <w:sz w:val="22"/>
          <w:szCs w:val="22"/>
          <w:u w:val="single"/>
        </w:rPr>
      </w:pPr>
    </w:p>
    <w:p w14:paraId="7118A931" w14:textId="229F2A11" w:rsidR="00A83465" w:rsidRPr="008C4733" w:rsidRDefault="00072069" w:rsidP="008C4733">
      <w:pPr>
        <w:tabs>
          <w:tab w:val="left" w:pos="3240"/>
        </w:tabs>
        <w:rPr>
          <w:sz w:val="22"/>
          <w:szCs w:val="22"/>
        </w:rPr>
      </w:pPr>
      <w:r>
        <w:rPr>
          <w:i/>
          <w:sz w:val="22"/>
          <w:szCs w:val="22"/>
          <w:u w:val="single"/>
        </w:rPr>
        <w:t>Date d’envoi de la publicité :</w:t>
      </w:r>
      <w:r w:rsidR="001B2160">
        <w:rPr>
          <w:sz w:val="22"/>
          <w:szCs w:val="22"/>
        </w:rPr>
        <w:t xml:space="preserve"> </w:t>
      </w:r>
      <w:r w:rsidR="00354B08" w:rsidRPr="00354B08">
        <w:rPr>
          <w:sz w:val="22"/>
          <w:szCs w:val="22"/>
        </w:rPr>
        <w:t>30</w:t>
      </w:r>
      <w:r w:rsidR="00964940" w:rsidRPr="00354B08">
        <w:rPr>
          <w:sz w:val="22"/>
          <w:szCs w:val="22"/>
        </w:rPr>
        <w:t>/</w:t>
      </w:r>
      <w:r w:rsidR="00354B08">
        <w:rPr>
          <w:sz w:val="22"/>
          <w:szCs w:val="22"/>
        </w:rPr>
        <w:t>10</w:t>
      </w:r>
      <w:r w:rsidR="00964940">
        <w:rPr>
          <w:sz w:val="22"/>
          <w:szCs w:val="22"/>
        </w:rPr>
        <w:t>/20</w:t>
      </w:r>
      <w:r w:rsidR="00CE65DD">
        <w:rPr>
          <w:sz w:val="22"/>
          <w:szCs w:val="22"/>
        </w:rPr>
        <w:t>2</w:t>
      </w:r>
      <w:r w:rsidR="008E046C">
        <w:rPr>
          <w:sz w:val="22"/>
          <w:szCs w:val="22"/>
        </w:rPr>
        <w:t>5</w:t>
      </w:r>
    </w:p>
    <w:sectPr w:rsidR="00A83465" w:rsidRPr="008C4733">
      <w:pgSz w:w="11906" w:h="16838"/>
      <w:pgMar w:top="540" w:right="566" w:bottom="54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10C43" w14:textId="77777777" w:rsidR="00EB5E45" w:rsidRDefault="00EB5E45" w:rsidP="00854FB4">
      <w:r>
        <w:separator/>
      </w:r>
    </w:p>
  </w:endnote>
  <w:endnote w:type="continuationSeparator" w:id="0">
    <w:p w14:paraId="0D483179" w14:textId="77777777" w:rsidR="00EB5E45" w:rsidRDefault="00EB5E45" w:rsidP="00854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BCA6E" w14:textId="77777777" w:rsidR="00EB5E45" w:rsidRDefault="00EB5E45" w:rsidP="00854FB4">
      <w:r>
        <w:separator/>
      </w:r>
    </w:p>
  </w:footnote>
  <w:footnote w:type="continuationSeparator" w:id="0">
    <w:p w14:paraId="03831FEF" w14:textId="77777777" w:rsidR="00EB5E45" w:rsidRDefault="00EB5E45" w:rsidP="00854FB4">
      <w:r>
        <w:continuationSeparator/>
      </w:r>
    </w:p>
  </w:footnote>
  <w:footnote w:id="1">
    <w:p w14:paraId="2BEB2E47" w14:textId="77777777" w:rsidR="00854FB4" w:rsidRDefault="00854FB4" w:rsidP="00854FB4">
      <w:pPr>
        <w:pStyle w:val="Notedebasdepage"/>
        <w:ind w:left="284" w:hanging="284"/>
        <w:rPr>
          <w:rFonts w:ascii="Arial Narrow" w:hAnsi="Arial Narrow"/>
          <w:color w:val="C00000"/>
          <w:sz w:val="16"/>
          <w:szCs w:val="16"/>
        </w:rPr>
      </w:pPr>
    </w:p>
  </w:footnote>
  <w:footnote w:id="2">
    <w:p w14:paraId="785B1608" w14:textId="77777777" w:rsidR="00854FB4" w:rsidRDefault="00854FB4" w:rsidP="00854FB4">
      <w:pPr>
        <w:pStyle w:val="Notedebasdepage"/>
        <w:ind w:left="284" w:hanging="284"/>
        <w:rPr>
          <w:rFonts w:ascii="Arial Narrow" w:hAnsi="Arial Narrow"/>
          <w:color w:val="C00000"/>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AC7972"/>
    <w:multiLevelType w:val="hybridMultilevel"/>
    <w:tmpl w:val="A7641674"/>
    <w:lvl w:ilvl="0" w:tplc="040C0011">
      <w:start w:val="1"/>
      <w:numFmt w:val="decimal"/>
      <w:lvlText w:val="%1)"/>
      <w:lvlJc w:val="left"/>
      <w:pPr>
        <w:tabs>
          <w:tab w:val="num" w:pos="360"/>
        </w:tabs>
        <w:ind w:left="360" w:hanging="360"/>
      </w:pPr>
    </w:lvl>
    <w:lvl w:ilvl="1" w:tplc="040C0019">
      <w:start w:val="1"/>
      <w:numFmt w:val="lowerLetter"/>
      <w:lvlText w:val="%2."/>
      <w:lvlJc w:val="left"/>
      <w:pPr>
        <w:tabs>
          <w:tab w:val="num" w:pos="1080"/>
        </w:tabs>
        <w:ind w:left="1080" w:hanging="360"/>
      </w:pPr>
    </w:lvl>
    <w:lvl w:ilvl="2" w:tplc="040C001B">
      <w:start w:val="1"/>
      <w:numFmt w:val="lowerRoman"/>
      <w:lvlText w:val="%3."/>
      <w:lvlJc w:val="right"/>
      <w:pPr>
        <w:tabs>
          <w:tab w:val="num" w:pos="1800"/>
        </w:tabs>
        <w:ind w:left="1800" w:hanging="180"/>
      </w:pPr>
    </w:lvl>
    <w:lvl w:ilvl="3" w:tplc="040C000F">
      <w:start w:val="1"/>
      <w:numFmt w:val="decimal"/>
      <w:lvlText w:val="%4."/>
      <w:lvlJc w:val="left"/>
      <w:pPr>
        <w:tabs>
          <w:tab w:val="num" w:pos="2520"/>
        </w:tabs>
        <w:ind w:left="2520" w:hanging="360"/>
      </w:pPr>
    </w:lvl>
    <w:lvl w:ilvl="4" w:tplc="040C0019">
      <w:start w:val="1"/>
      <w:numFmt w:val="lowerLetter"/>
      <w:lvlText w:val="%5."/>
      <w:lvlJc w:val="left"/>
      <w:pPr>
        <w:tabs>
          <w:tab w:val="num" w:pos="3240"/>
        </w:tabs>
        <w:ind w:left="3240" w:hanging="360"/>
      </w:pPr>
    </w:lvl>
    <w:lvl w:ilvl="5" w:tplc="040C001B">
      <w:start w:val="1"/>
      <w:numFmt w:val="lowerRoman"/>
      <w:lvlText w:val="%6."/>
      <w:lvlJc w:val="right"/>
      <w:pPr>
        <w:tabs>
          <w:tab w:val="num" w:pos="3960"/>
        </w:tabs>
        <w:ind w:left="3960" w:hanging="180"/>
      </w:pPr>
    </w:lvl>
    <w:lvl w:ilvl="6" w:tplc="040C000F">
      <w:start w:val="1"/>
      <w:numFmt w:val="decimal"/>
      <w:lvlText w:val="%7."/>
      <w:lvlJc w:val="left"/>
      <w:pPr>
        <w:tabs>
          <w:tab w:val="num" w:pos="4680"/>
        </w:tabs>
        <w:ind w:left="4680" w:hanging="360"/>
      </w:pPr>
    </w:lvl>
    <w:lvl w:ilvl="7" w:tplc="040C0019">
      <w:start w:val="1"/>
      <w:numFmt w:val="lowerLetter"/>
      <w:lvlText w:val="%8."/>
      <w:lvlJc w:val="left"/>
      <w:pPr>
        <w:tabs>
          <w:tab w:val="num" w:pos="5400"/>
        </w:tabs>
        <w:ind w:left="5400" w:hanging="360"/>
      </w:pPr>
    </w:lvl>
    <w:lvl w:ilvl="8" w:tplc="040C001B">
      <w:start w:val="1"/>
      <w:numFmt w:val="lowerRoman"/>
      <w:lvlText w:val="%9."/>
      <w:lvlJc w:val="right"/>
      <w:pPr>
        <w:tabs>
          <w:tab w:val="num" w:pos="6120"/>
        </w:tabs>
        <w:ind w:left="6120" w:hanging="180"/>
      </w:pPr>
    </w:lvl>
  </w:abstractNum>
  <w:abstractNum w:abstractNumId="2" w15:restartNumberingAfterBreak="0">
    <w:nsid w:val="118002AD"/>
    <w:multiLevelType w:val="hybridMultilevel"/>
    <w:tmpl w:val="882C84B6"/>
    <w:lvl w:ilvl="0" w:tplc="13AAA97E">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766107"/>
    <w:multiLevelType w:val="singleLevel"/>
    <w:tmpl w:val="040C0011"/>
    <w:lvl w:ilvl="0">
      <w:start w:val="1"/>
      <w:numFmt w:val="decimal"/>
      <w:lvlText w:val="%1)"/>
      <w:lvlJc w:val="left"/>
      <w:pPr>
        <w:tabs>
          <w:tab w:val="num" w:pos="360"/>
        </w:tabs>
        <w:ind w:left="360" w:hanging="360"/>
      </w:pPr>
    </w:lvl>
  </w:abstractNum>
  <w:abstractNum w:abstractNumId="4" w15:restartNumberingAfterBreak="0">
    <w:nsid w:val="140E02DB"/>
    <w:multiLevelType w:val="hybridMultilevel"/>
    <w:tmpl w:val="130AB906"/>
    <w:lvl w:ilvl="0" w:tplc="6E80BC02">
      <w:numFmt w:val="bullet"/>
      <w:lvlText w:val="-"/>
      <w:lvlJc w:val="left"/>
      <w:pPr>
        <w:ind w:left="218" w:hanging="360"/>
      </w:pPr>
      <w:rPr>
        <w:rFonts w:ascii="Times New Roman" w:eastAsia="Times New Roman" w:hAnsi="Times New Roman" w:cs="Times New Roman" w:hint="default"/>
      </w:rPr>
    </w:lvl>
    <w:lvl w:ilvl="1" w:tplc="040C0003" w:tentative="1">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5" w15:restartNumberingAfterBreak="0">
    <w:nsid w:val="16BD0EC0"/>
    <w:multiLevelType w:val="hybridMultilevel"/>
    <w:tmpl w:val="240077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94402C3"/>
    <w:multiLevelType w:val="hybridMultilevel"/>
    <w:tmpl w:val="53A41C36"/>
    <w:lvl w:ilvl="0" w:tplc="13AAA97E">
      <w:start w:val="1"/>
      <w:numFmt w:val="bullet"/>
      <w:lvlText w:val=""/>
      <w:lvlJc w:val="left"/>
      <w:pPr>
        <w:tabs>
          <w:tab w:val="num" w:pos="862"/>
        </w:tabs>
        <w:ind w:left="862" w:hanging="360"/>
      </w:pPr>
      <w:rPr>
        <w:rFonts w:ascii="Wingdings" w:hAnsi="Wingdings" w:hint="default"/>
      </w:rPr>
    </w:lvl>
    <w:lvl w:ilvl="1" w:tplc="040C0003" w:tentative="1">
      <w:start w:val="1"/>
      <w:numFmt w:val="bullet"/>
      <w:lvlText w:val="o"/>
      <w:lvlJc w:val="left"/>
      <w:pPr>
        <w:tabs>
          <w:tab w:val="num" w:pos="1582"/>
        </w:tabs>
        <w:ind w:left="1582" w:hanging="360"/>
      </w:pPr>
      <w:rPr>
        <w:rFonts w:ascii="Courier New" w:hAnsi="Courier New" w:cs="Courier New" w:hint="default"/>
      </w:rPr>
    </w:lvl>
    <w:lvl w:ilvl="2" w:tplc="040C0005" w:tentative="1">
      <w:start w:val="1"/>
      <w:numFmt w:val="bullet"/>
      <w:lvlText w:val=""/>
      <w:lvlJc w:val="left"/>
      <w:pPr>
        <w:tabs>
          <w:tab w:val="num" w:pos="2302"/>
        </w:tabs>
        <w:ind w:left="2302" w:hanging="360"/>
      </w:pPr>
      <w:rPr>
        <w:rFonts w:ascii="Wingdings" w:hAnsi="Wingdings" w:hint="default"/>
      </w:rPr>
    </w:lvl>
    <w:lvl w:ilvl="3" w:tplc="040C0001" w:tentative="1">
      <w:start w:val="1"/>
      <w:numFmt w:val="bullet"/>
      <w:lvlText w:val=""/>
      <w:lvlJc w:val="left"/>
      <w:pPr>
        <w:tabs>
          <w:tab w:val="num" w:pos="3022"/>
        </w:tabs>
        <w:ind w:left="3022" w:hanging="360"/>
      </w:pPr>
      <w:rPr>
        <w:rFonts w:ascii="Symbol" w:hAnsi="Symbol" w:hint="default"/>
      </w:rPr>
    </w:lvl>
    <w:lvl w:ilvl="4" w:tplc="040C0003" w:tentative="1">
      <w:start w:val="1"/>
      <w:numFmt w:val="bullet"/>
      <w:lvlText w:val="o"/>
      <w:lvlJc w:val="left"/>
      <w:pPr>
        <w:tabs>
          <w:tab w:val="num" w:pos="3742"/>
        </w:tabs>
        <w:ind w:left="3742" w:hanging="360"/>
      </w:pPr>
      <w:rPr>
        <w:rFonts w:ascii="Courier New" w:hAnsi="Courier New" w:cs="Courier New" w:hint="default"/>
      </w:rPr>
    </w:lvl>
    <w:lvl w:ilvl="5" w:tplc="040C0005" w:tentative="1">
      <w:start w:val="1"/>
      <w:numFmt w:val="bullet"/>
      <w:lvlText w:val=""/>
      <w:lvlJc w:val="left"/>
      <w:pPr>
        <w:tabs>
          <w:tab w:val="num" w:pos="4462"/>
        </w:tabs>
        <w:ind w:left="4462" w:hanging="360"/>
      </w:pPr>
      <w:rPr>
        <w:rFonts w:ascii="Wingdings" w:hAnsi="Wingdings" w:hint="default"/>
      </w:rPr>
    </w:lvl>
    <w:lvl w:ilvl="6" w:tplc="040C0001" w:tentative="1">
      <w:start w:val="1"/>
      <w:numFmt w:val="bullet"/>
      <w:lvlText w:val=""/>
      <w:lvlJc w:val="left"/>
      <w:pPr>
        <w:tabs>
          <w:tab w:val="num" w:pos="5182"/>
        </w:tabs>
        <w:ind w:left="5182" w:hanging="360"/>
      </w:pPr>
      <w:rPr>
        <w:rFonts w:ascii="Symbol" w:hAnsi="Symbol" w:hint="default"/>
      </w:rPr>
    </w:lvl>
    <w:lvl w:ilvl="7" w:tplc="040C0003" w:tentative="1">
      <w:start w:val="1"/>
      <w:numFmt w:val="bullet"/>
      <w:lvlText w:val="o"/>
      <w:lvlJc w:val="left"/>
      <w:pPr>
        <w:tabs>
          <w:tab w:val="num" w:pos="5902"/>
        </w:tabs>
        <w:ind w:left="5902" w:hanging="360"/>
      </w:pPr>
      <w:rPr>
        <w:rFonts w:ascii="Courier New" w:hAnsi="Courier New" w:cs="Courier New" w:hint="default"/>
      </w:rPr>
    </w:lvl>
    <w:lvl w:ilvl="8" w:tplc="040C0005" w:tentative="1">
      <w:start w:val="1"/>
      <w:numFmt w:val="bullet"/>
      <w:lvlText w:val=""/>
      <w:lvlJc w:val="left"/>
      <w:pPr>
        <w:tabs>
          <w:tab w:val="num" w:pos="6622"/>
        </w:tabs>
        <w:ind w:left="6622" w:hanging="360"/>
      </w:pPr>
      <w:rPr>
        <w:rFonts w:ascii="Wingdings" w:hAnsi="Wingdings" w:hint="default"/>
      </w:rPr>
    </w:lvl>
  </w:abstractNum>
  <w:abstractNum w:abstractNumId="7" w15:restartNumberingAfterBreak="0">
    <w:nsid w:val="1F8F677F"/>
    <w:multiLevelType w:val="singleLevel"/>
    <w:tmpl w:val="040C0011"/>
    <w:lvl w:ilvl="0">
      <w:start w:val="1"/>
      <w:numFmt w:val="decimal"/>
      <w:lvlText w:val="%1)"/>
      <w:lvlJc w:val="left"/>
      <w:pPr>
        <w:tabs>
          <w:tab w:val="num" w:pos="360"/>
        </w:tabs>
        <w:ind w:left="360" w:hanging="360"/>
      </w:pPr>
    </w:lvl>
  </w:abstractNum>
  <w:abstractNum w:abstractNumId="8" w15:restartNumberingAfterBreak="0">
    <w:nsid w:val="20370978"/>
    <w:multiLevelType w:val="hybridMultilevel"/>
    <w:tmpl w:val="00EE0E0E"/>
    <w:lvl w:ilvl="0" w:tplc="13AAA97E">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C26DEE"/>
    <w:multiLevelType w:val="hybridMultilevel"/>
    <w:tmpl w:val="C5A83DFE"/>
    <w:lvl w:ilvl="0" w:tplc="FFA8707C">
      <w:start w:val="1"/>
      <w:numFmt w:val="decimal"/>
      <w:lvlText w:val="(%1."/>
      <w:lvlJc w:val="left"/>
      <w:pPr>
        <w:ind w:left="1245" w:hanging="360"/>
      </w:pPr>
      <w:rPr>
        <w:rFonts w:hint="default"/>
      </w:rPr>
    </w:lvl>
    <w:lvl w:ilvl="1" w:tplc="040C0019" w:tentative="1">
      <w:start w:val="1"/>
      <w:numFmt w:val="lowerLetter"/>
      <w:lvlText w:val="%2."/>
      <w:lvlJc w:val="left"/>
      <w:pPr>
        <w:ind w:left="1965" w:hanging="360"/>
      </w:pPr>
    </w:lvl>
    <w:lvl w:ilvl="2" w:tplc="040C001B" w:tentative="1">
      <w:start w:val="1"/>
      <w:numFmt w:val="lowerRoman"/>
      <w:lvlText w:val="%3."/>
      <w:lvlJc w:val="right"/>
      <w:pPr>
        <w:ind w:left="2685" w:hanging="180"/>
      </w:pPr>
    </w:lvl>
    <w:lvl w:ilvl="3" w:tplc="040C000F" w:tentative="1">
      <w:start w:val="1"/>
      <w:numFmt w:val="decimal"/>
      <w:lvlText w:val="%4."/>
      <w:lvlJc w:val="left"/>
      <w:pPr>
        <w:ind w:left="3405" w:hanging="360"/>
      </w:pPr>
    </w:lvl>
    <w:lvl w:ilvl="4" w:tplc="040C0019" w:tentative="1">
      <w:start w:val="1"/>
      <w:numFmt w:val="lowerLetter"/>
      <w:lvlText w:val="%5."/>
      <w:lvlJc w:val="left"/>
      <w:pPr>
        <w:ind w:left="4125" w:hanging="360"/>
      </w:pPr>
    </w:lvl>
    <w:lvl w:ilvl="5" w:tplc="040C001B" w:tentative="1">
      <w:start w:val="1"/>
      <w:numFmt w:val="lowerRoman"/>
      <w:lvlText w:val="%6."/>
      <w:lvlJc w:val="right"/>
      <w:pPr>
        <w:ind w:left="4845" w:hanging="180"/>
      </w:pPr>
    </w:lvl>
    <w:lvl w:ilvl="6" w:tplc="040C000F" w:tentative="1">
      <w:start w:val="1"/>
      <w:numFmt w:val="decimal"/>
      <w:lvlText w:val="%7."/>
      <w:lvlJc w:val="left"/>
      <w:pPr>
        <w:ind w:left="5565" w:hanging="360"/>
      </w:pPr>
    </w:lvl>
    <w:lvl w:ilvl="7" w:tplc="040C0019" w:tentative="1">
      <w:start w:val="1"/>
      <w:numFmt w:val="lowerLetter"/>
      <w:lvlText w:val="%8."/>
      <w:lvlJc w:val="left"/>
      <w:pPr>
        <w:ind w:left="6285" w:hanging="360"/>
      </w:pPr>
    </w:lvl>
    <w:lvl w:ilvl="8" w:tplc="040C001B" w:tentative="1">
      <w:start w:val="1"/>
      <w:numFmt w:val="lowerRoman"/>
      <w:lvlText w:val="%9."/>
      <w:lvlJc w:val="right"/>
      <w:pPr>
        <w:ind w:left="7005" w:hanging="180"/>
      </w:pPr>
    </w:lvl>
  </w:abstractNum>
  <w:abstractNum w:abstractNumId="10" w15:restartNumberingAfterBreak="0">
    <w:nsid w:val="29E87604"/>
    <w:multiLevelType w:val="hybridMultilevel"/>
    <w:tmpl w:val="891C7DF0"/>
    <w:lvl w:ilvl="0" w:tplc="13AAA97E">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4C4D1C"/>
    <w:multiLevelType w:val="hybridMultilevel"/>
    <w:tmpl w:val="78641C9A"/>
    <w:lvl w:ilvl="0" w:tplc="F1F86AEE">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42E7BA3"/>
    <w:multiLevelType w:val="singleLevel"/>
    <w:tmpl w:val="040C0011"/>
    <w:lvl w:ilvl="0">
      <w:start w:val="1"/>
      <w:numFmt w:val="decimal"/>
      <w:lvlText w:val="%1)"/>
      <w:lvlJc w:val="left"/>
      <w:pPr>
        <w:tabs>
          <w:tab w:val="num" w:pos="502"/>
        </w:tabs>
        <w:ind w:left="502" w:hanging="360"/>
      </w:pPr>
    </w:lvl>
  </w:abstractNum>
  <w:abstractNum w:abstractNumId="13" w15:restartNumberingAfterBreak="0">
    <w:nsid w:val="3B086678"/>
    <w:multiLevelType w:val="singleLevel"/>
    <w:tmpl w:val="040C0011"/>
    <w:lvl w:ilvl="0">
      <w:start w:val="1"/>
      <w:numFmt w:val="decimal"/>
      <w:lvlText w:val="%1)"/>
      <w:lvlJc w:val="left"/>
      <w:pPr>
        <w:tabs>
          <w:tab w:val="num" w:pos="360"/>
        </w:tabs>
        <w:ind w:left="360" w:hanging="360"/>
      </w:pPr>
      <w:rPr>
        <w:rFonts w:cs="Times New Roman"/>
      </w:rPr>
    </w:lvl>
  </w:abstractNum>
  <w:abstractNum w:abstractNumId="14" w15:restartNumberingAfterBreak="0">
    <w:nsid w:val="56F250E8"/>
    <w:multiLevelType w:val="hybridMultilevel"/>
    <w:tmpl w:val="DF5686D0"/>
    <w:lvl w:ilvl="0" w:tplc="FBB2956C">
      <w:numFmt w:val="bullet"/>
      <w:lvlText w:val="-"/>
      <w:lvlJc w:val="left"/>
      <w:pPr>
        <w:tabs>
          <w:tab w:val="num" w:pos="720"/>
        </w:tabs>
        <w:ind w:left="720" w:hanging="360"/>
      </w:pPr>
      <w:rPr>
        <w:rFonts w:ascii="Arial" w:eastAsia="Times New Roman" w:hAnsi="Arial" w:cs="Arial" w:hint="default"/>
        <w:b/>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494DE5"/>
    <w:multiLevelType w:val="hybridMultilevel"/>
    <w:tmpl w:val="0ECAAC3E"/>
    <w:lvl w:ilvl="0" w:tplc="13AAA97E">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6AE174E1"/>
    <w:multiLevelType w:val="singleLevel"/>
    <w:tmpl w:val="A1606B16"/>
    <w:lvl w:ilvl="0">
      <w:start w:val="1"/>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75B86027"/>
    <w:multiLevelType w:val="multilevel"/>
    <w:tmpl w:val="2BCA45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982FEF"/>
    <w:multiLevelType w:val="hybridMultilevel"/>
    <w:tmpl w:val="6D721292"/>
    <w:lvl w:ilvl="0" w:tplc="13AAA97E">
      <w:start w:val="1"/>
      <w:numFmt w:val="bullet"/>
      <w:lvlText w:val=""/>
      <w:lvlJc w:val="left"/>
      <w:pPr>
        <w:tabs>
          <w:tab w:val="num" w:pos="720"/>
        </w:tabs>
        <w:ind w:left="720" w:hanging="360"/>
      </w:pPr>
      <w:rPr>
        <w:rFonts w:ascii="Wingdings" w:hAnsi="Wingdings" w:hint="default"/>
      </w:rPr>
    </w:lvl>
    <w:lvl w:ilvl="1" w:tplc="D69EE7E0">
      <w:start w:val="37"/>
      <w:numFmt w:val="bullet"/>
      <w:lvlText w:val="-"/>
      <w:lvlJc w:val="left"/>
      <w:pPr>
        <w:tabs>
          <w:tab w:val="num" w:pos="1440"/>
        </w:tabs>
        <w:ind w:left="1440" w:hanging="360"/>
      </w:pPr>
      <w:rPr>
        <w:rFonts w:ascii="Times New Roman" w:eastAsia="Times New Roman" w:hAnsi="Times New Roman"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B80515"/>
    <w:multiLevelType w:val="hybridMultilevel"/>
    <w:tmpl w:val="6CF8F278"/>
    <w:lvl w:ilvl="0" w:tplc="13AAA97E">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8"/>
  </w:num>
  <w:num w:numId="3">
    <w:abstractNumId w:val="10"/>
  </w:num>
  <w:num w:numId="4">
    <w:abstractNumId w:val="15"/>
  </w:num>
  <w:num w:numId="5">
    <w:abstractNumId w:val="8"/>
  </w:num>
  <w:num w:numId="6">
    <w:abstractNumId w:val="2"/>
  </w:num>
  <w:num w:numId="7">
    <w:abstractNumId w:val="5"/>
  </w:num>
  <w:num w:numId="8">
    <w:abstractNumId w:val="16"/>
  </w:num>
  <w:num w:numId="9">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10">
    <w:abstractNumId w:val="14"/>
  </w:num>
  <w:num w:numId="11">
    <w:abstractNumId w:val="7"/>
  </w:num>
  <w:num w:numId="12">
    <w:abstractNumId w:val="1"/>
  </w:num>
  <w:num w:numId="13">
    <w:abstractNumId w:val="12"/>
  </w:num>
  <w:num w:numId="14">
    <w:abstractNumId w:val="6"/>
  </w:num>
  <w:num w:numId="15">
    <w:abstractNumId w:val="3"/>
  </w:num>
  <w:num w:numId="16">
    <w:abstractNumId w:val="13"/>
  </w:num>
  <w:num w:numId="17">
    <w:abstractNumId w:val="11"/>
  </w:num>
  <w:num w:numId="18">
    <w:abstractNumId w:val="9"/>
  </w:num>
  <w:num w:numId="19">
    <w:abstractNumId w:val="1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160"/>
    <w:rsid w:val="00011DC1"/>
    <w:rsid w:val="00072069"/>
    <w:rsid w:val="00080F5F"/>
    <w:rsid w:val="000875A8"/>
    <w:rsid w:val="0009759E"/>
    <w:rsid w:val="000F530A"/>
    <w:rsid w:val="00160E5D"/>
    <w:rsid w:val="00176018"/>
    <w:rsid w:val="001B2160"/>
    <w:rsid w:val="00211407"/>
    <w:rsid w:val="00284FE0"/>
    <w:rsid w:val="00322C77"/>
    <w:rsid w:val="00344332"/>
    <w:rsid w:val="00354B08"/>
    <w:rsid w:val="0037510E"/>
    <w:rsid w:val="003A7F56"/>
    <w:rsid w:val="004004A4"/>
    <w:rsid w:val="00457D56"/>
    <w:rsid w:val="00484393"/>
    <w:rsid w:val="004C1273"/>
    <w:rsid w:val="00506D28"/>
    <w:rsid w:val="00536A90"/>
    <w:rsid w:val="00585CA2"/>
    <w:rsid w:val="005D5418"/>
    <w:rsid w:val="00650990"/>
    <w:rsid w:val="00665363"/>
    <w:rsid w:val="00702ACD"/>
    <w:rsid w:val="007451F2"/>
    <w:rsid w:val="007A311F"/>
    <w:rsid w:val="008248E5"/>
    <w:rsid w:val="00854FB4"/>
    <w:rsid w:val="0086568F"/>
    <w:rsid w:val="00866138"/>
    <w:rsid w:val="008743F4"/>
    <w:rsid w:val="008C4733"/>
    <w:rsid w:val="008D0A9D"/>
    <w:rsid w:val="008E046C"/>
    <w:rsid w:val="009331BF"/>
    <w:rsid w:val="00946773"/>
    <w:rsid w:val="00964940"/>
    <w:rsid w:val="009D677C"/>
    <w:rsid w:val="00A26971"/>
    <w:rsid w:val="00A66F73"/>
    <w:rsid w:val="00A83465"/>
    <w:rsid w:val="00B504DB"/>
    <w:rsid w:val="00B54C60"/>
    <w:rsid w:val="00B66209"/>
    <w:rsid w:val="00B848F3"/>
    <w:rsid w:val="00BE669E"/>
    <w:rsid w:val="00C03932"/>
    <w:rsid w:val="00C310EA"/>
    <w:rsid w:val="00CE65DD"/>
    <w:rsid w:val="00D065DC"/>
    <w:rsid w:val="00D342EE"/>
    <w:rsid w:val="00E01067"/>
    <w:rsid w:val="00E250C9"/>
    <w:rsid w:val="00E27369"/>
    <w:rsid w:val="00EB5E45"/>
    <w:rsid w:val="00ED1149"/>
    <w:rsid w:val="00EF3A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14ED8C"/>
  <w15:chartTrackingRefBased/>
  <w15:docId w15:val="{2927B8CE-EF63-485D-A7D6-C28FF4161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color w:val="0000FF"/>
      <w:u w:val="single"/>
    </w:rPr>
  </w:style>
  <w:style w:type="paragraph" w:customStyle="1" w:styleId="Default">
    <w:name w:val="Default"/>
    <w:pPr>
      <w:autoSpaceDE w:val="0"/>
      <w:autoSpaceDN w:val="0"/>
      <w:adjustRightInd w:val="0"/>
    </w:pPr>
    <w:rPr>
      <w:color w:val="000000"/>
      <w:sz w:val="24"/>
      <w:szCs w:val="24"/>
    </w:rPr>
  </w:style>
  <w:style w:type="paragraph" w:customStyle="1" w:styleId="RedaliaNormal">
    <w:name w:val="Redalia : Normal"/>
    <w:basedOn w:val="Normal"/>
    <w:link w:val="RedaliaNormalCar"/>
    <w:pPr>
      <w:widowControl w:val="0"/>
      <w:jc w:val="both"/>
    </w:pPr>
    <w:rPr>
      <w:rFonts w:ascii="Verdana" w:hAnsi="Verdana"/>
      <w:sz w:val="18"/>
      <w:szCs w:val="20"/>
    </w:rPr>
  </w:style>
  <w:style w:type="paragraph" w:customStyle="1" w:styleId="RdaliaRetraitniveau1">
    <w:name w:val="Rédalia : Retrait niveau 1"/>
    <w:basedOn w:val="RedaliaNormal"/>
    <w:pPr>
      <w:tabs>
        <w:tab w:val="num" w:pos="360"/>
      </w:tabs>
      <w:ind w:left="360" w:hanging="360"/>
    </w:pPr>
  </w:style>
  <w:style w:type="character" w:customStyle="1" w:styleId="RedaliaNormalCar">
    <w:name w:val="Redalia : Normal Car"/>
    <w:link w:val="RedaliaNormal"/>
    <w:rPr>
      <w:rFonts w:ascii="Verdana" w:hAnsi="Verdana"/>
      <w:sz w:val="18"/>
      <w:lang w:val="fr-FR" w:eastAsia="fr-FR" w:bidi="ar-SA"/>
    </w:rPr>
  </w:style>
  <w:style w:type="paragraph" w:customStyle="1" w:styleId="ParagrapheCar1">
    <w:name w:val="Paragraphe Car1"/>
    <w:basedOn w:val="Normal"/>
    <w:pPr>
      <w:widowControl w:val="0"/>
      <w:tabs>
        <w:tab w:val="left" w:pos="24765"/>
        <w:tab w:val="left" w:pos="24890"/>
      </w:tabs>
      <w:suppressAutoHyphens/>
      <w:autoSpaceDN w:val="0"/>
      <w:spacing w:before="240"/>
      <w:ind w:left="1304"/>
      <w:jc w:val="both"/>
      <w:textAlignment w:val="baseline"/>
    </w:pPr>
    <w:rPr>
      <w:rFonts w:ascii="Arial" w:hAnsi="Arial" w:cs="Arial"/>
      <w:color w:val="000000"/>
      <w:kern w:val="3"/>
      <w:lang w:val="en-US" w:eastAsia="en-US"/>
    </w:rPr>
  </w:style>
  <w:style w:type="paragraph" w:styleId="Corpsdetexte">
    <w:name w:val="Body Text"/>
    <w:basedOn w:val="Normal"/>
    <w:pPr>
      <w:spacing w:before="120" w:after="120"/>
      <w:jc w:val="both"/>
    </w:pPr>
    <w:rPr>
      <w:rFonts w:ascii="Arial" w:hAnsi="Arial" w:cs="Arial"/>
      <w:sz w:val="20"/>
      <w:szCs w:val="20"/>
    </w:rPr>
  </w:style>
  <w:style w:type="paragraph" w:customStyle="1" w:styleId="CondInsert">
    <w:name w:val="Cond Insert"/>
    <w:basedOn w:val="Normal"/>
    <w:next w:val="Normal"/>
    <w:rPr>
      <w:rFonts w:ascii="Arial" w:hAnsi="Arial" w:cs="Arial"/>
      <w:color w:val="008080"/>
      <w:sz w:val="16"/>
      <w:szCs w:val="16"/>
    </w:rPr>
  </w:style>
  <w:style w:type="paragraph" w:customStyle="1" w:styleId="DCENormal">
    <w:name w:val="DCE Normal"/>
    <w:basedOn w:val="Normal"/>
    <w:pPr>
      <w:jc w:val="both"/>
    </w:pPr>
    <w:rPr>
      <w:rFonts w:ascii="Univers" w:hAnsi="Univers"/>
    </w:rPr>
  </w:style>
  <w:style w:type="paragraph" w:styleId="Textedebulles">
    <w:name w:val="Balloon Text"/>
    <w:basedOn w:val="Normal"/>
    <w:link w:val="TextedebullesCar"/>
    <w:rsid w:val="00011DC1"/>
    <w:rPr>
      <w:rFonts w:ascii="Tahoma" w:hAnsi="Tahoma" w:cs="Tahoma"/>
      <w:sz w:val="16"/>
      <w:szCs w:val="16"/>
    </w:rPr>
  </w:style>
  <w:style w:type="character" w:customStyle="1" w:styleId="TextedebullesCar">
    <w:name w:val="Texte de bulles Car"/>
    <w:link w:val="Textedebulles"/>
    <w:rsid w:val="00011DC1"/>
    <w:rPr>
      <w:rFonts w:ascii="Tahoma" w:hAnsi="Tahoma" w:cs="Tahoma"/>
      <w:sz w:val="16"/>
      <w:szCs w:val="16"/>
    </w:rPr>
  </w:style>
  <w:style w:type="character" w:styleId="Mentionnonrsolue">
    <w:name w:val="Unresolved Mention"/>
    <w:uiPriority w:val="99"/>
    <w:semiHidden/>
    <w:unhideWhenUsed/>
    <w:rsid w:val="00B848F3"/>
    <w:rPr>
      <w:color w:val="605E5C"/>
      <w:shd w:val="clear" w:color="auto" w:fill="E1DFDD"/>
    </w:rPr>
  </w:style>
  <w:style w:type="paragraph" w:styleId="Notedebasdepage">
    <w:name w:val="footnote text"/>
    <w:basedOn w:val="Normal"/>
    <w:link w:val="NotedebasdepageCar"/>
    <w:unhideWhenUsed/>
    <w:rsid w:val="00854FB4"/>
    <w:rPr>
      <w:sz w:val="20"/>
      <w:szCs w:val="20"/>
    </w:rPr>
  </w:style>
  <w:style w:type="character" w:customStyle="1" w:styleId="NotedebasdepageCar">
    <w:name w:val="Note de bas de page Car"/>
    <w:basedOn w:val="Policepardfaut"/>
    <w:link w:val="Notedebasdepage"/>
    <w:rsid w:val="00854FB4"/>
  </w:style>
  <w:style w:type="character" w:styleId="Appelnotedebasdep">
    <w:name w:val="footnote reference"/>
    <w:unhideWhenUsed/>
    <w:rsid w:val="00854FB4"/>
    <w:rPr>
      <w:vertAlign w:val="superscript"/>
    </w:rPr>
  </w:style>
  <w:style w:type="paragraph" w:styleId="Paragraphedeliste">
    <w:name w:val="List Paragraph"/>
    <w:basedOn w:val="Normal"/>
    <w:uiPriority w:val="34"/>
    <w:qFormat/>
    <w:rsid w:val="008E04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72001">
      <w:bodyDiv w:val="1"/>
      <w:marLeft w:val="0"/>
      <w:marRight w:val="0"/>
      <w:marTop w:val="0"/>
      <w:marBottom w:val="0"/>
      <w:divBdr>
        <w:top w:val="none" w:sz="0" w:space="0" w:color="auto"/>
        <w:left w:val="none" w:sz="0" w:space="0" w:color="auto"/>
        <w:bottom w:val="none" w:sz="0" w:space="0" w:color="auto"/>
        <w:right w:val="none" w:sz="0" w:space="0" w:color="auto"/>
      </w:divBdr>
    </w:div>
    <w:div w:id="615255291">
      <w:bodyDiv w:val="1"/>
      <w:marLeft w:val="0"/>
      <w:marRight w:val="0"/>
      <w:marTop w:val="0"/>
      <w:marBottom w:val="0"/>
      <w:divBdr>
        <w:top w:val="none" w:sz="0" w:space="0" w:color="auto"/>
        <w:left w:val="none" w:sz="0" w:space="0" w:color="auto"/>
        <w:bottom w:val="none" w:sz="0" w:space="0" w:color="auto"/>
        <w:right w:val="none" w:sz="0" w:space="0" w:color="auto"/>
      </w:divBdr>
    </w:div>
    <w:div w:id="2006128190">
      <w:bodyDiv w:val="1"/>
      <w:marLeft w:val="0"/>
      <w:marRight w:val="0"/>
      <w:marTop w:val="0"/>
      <w:marBottom w:val="0"/>
      <w:divBdr>
        <w:top w:val="none" w:sz="0" w:space="0" w:color="auto"/>
        <w:left w:val="none" w:sz="0" w:space="0" w:color="auto"/>
        <w:bottom w:val="none" w:sz="0" w:space="0" w:color="auto"/>
        <w:right w:val="none" w:sz="0" w:space="0" w:color="auto"/>
      </w:divBdr>
    </w:div>
    <w:div w:id="206853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rches-securises.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upont@pons-ville.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gauthier@pons-ville.fr"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marches-securises.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A31A9-25CA-4308-83FF-D287E1CEB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983</Words>
  <Characters>5665</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Avis d’appel à la concurrence</vt:lpstr>
    </vt:vector>
  </TitlesOfParts>
  <Company>PONS</Company>
  <LinksUpToDate>false</LinksUpToDate>
  <CharactersWithSpaces>6635</CharactersWithSpaces>
  <SharedDoc>false</SharedDoc>
  <HLinks>
    <vt:vector size="24" baseType="variant">
      <vt:variant>
        <vt:i4>917628</vt:i4>
      </vt:variant>
      <vt:variant>
        <vt:i4>9</vt:i4>
      </vt:variant>
      <vt:variant>
        <vt:i4>0</vt:i4>
      </vt:variant>
      <vt:variant>
        <vt:i4>5</vt:i4>
      </vt:variant>
      <vt:variant>
        <vt:lpwstr>mailto:rst@pons-ville.fr</vt:lpwstr>
      </vt:variant>
      <vt:variant>
        <vt:lpwstr/>
      </vt:variant>
      <vt:variant>
        <vt:i4>5374066</vt:i4>
      </vt:variant>
      <vt:variant>
        <vt:i4>6</vt:i4>
      </vt:variant>
      <vt:variant>
        <vt:i4>0</vt:i4>
      </vt:variant>
      <vt:variant>
        <vt:i4>5</vt:i4>
      </vt:variant>
      <vt:variant>
        <vt:lpwstr>mailto:j.gauthier@pons-ville.fr</vt:lpwstr>
      </vt:variant>
      <vt:variant>
        <vt:lpwstr/>
      </vt:variant>
      <vt:variant>
        <vt:i4>4325440</vt:i4>
      </vt:variant>
      <vt:variant>
        <vt:i4>3</vt:i4>
      </vt:variant>
      <vt:variant>
        <vt:i4>0</vt:i4>
      </vt:variant>
      <vt:variant>
        <vt:i4>5</vt:i4>
      </vt:variant>
      <vt:variant>
        <vt:lpwstr>https://www.marches-securises.fr/</vt:lpwstr>
      </vt:variant>
      <vt:variant>
        <vt:lpwstr/>
      </vt:variant>
      <vt:variant>
        <vt:i4>262234</vt:i4>
      </vt:variant>
      <vt:variant>
        <vt:i4>0</vt:i4>
      </vt:variant>
      <vt:variant>
        <vt:i4>0</vt:i4>
      </vt:variant>
      <vt:variant>
        <vt:i4>5</vt:i4>
      </vt:variant>
      <vt:variant>
        <vt:lpwstr>http://www.marches-securises.fr/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 d’appel à la concurrence</dc:title>
  <dc:subject/>
  <dc:creator>Aurélie Dupont</dc:creator>
  <cp:keywords/>
  <cp:lastModifiedBy>Jessica Clerton</cp:lastModifiedBy>
  <cp:revision>6</cp:revision>
  <cp:lastPrinted>2024-11-26T15:02:00Z</cp:lastPrinted>
  <dcterms:created xsi:type="dcterms:W3CDTF">2025-10-21T12:37:00Z</dcterms:created>
  <dcterms:modified xsi:type="dcterms:W3CDTF">2025-10-28T15:59:00Z</dcterms:modified>
</cp:coreProperties>
</file>