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B1" w:rsidRDefault="00A02757">
      <w:pPr>
        <w:tabs>
          <w:tab w:val="left" w:pos="5096"/>
        </w:tabs>
        <w:rPr>
          <w:rFonts w:ascii="Arial Narrow" w:hAnsi="Arial Narrow" w:cs="Arial Narrow"/>
          <w:lang w:eastAsia="fr-FR"/>
        </w:rPr>
      </w:pPr>
      <w:r>
        <w:rPr>
          <w:rFonts w:ascii="Arial Narrow" w:hAnsi="Arial Narrow" w:cs="Arial Narrow"/>
          <w:noProof/>
          <w:lang w:eastAsia="fr-FR"/>
        </w:rPr>
        <mc:AlternateContent>
          <mc:Choice Requires="wpg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-40005</wp:posOffset>
                </wp:positionV>
                <wp:extent cx="1224280" cy="1181100"/>
                <wp:effectExtent l="0" t="0" r="0" b="0"/>
                <wp:wrapNone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rcRect l="-7" t="-7" r="-7" b="-7"/>
                        <a:stretch/>
                      </pic:blipFill>
                      <pic:spPr bwMode="auto">
                        <a:xfrm>
                          <a:off x="0" y="0"/>
                          <a:ext cx="1224280" cy="11810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5;o:allowoverlap:true;o:allowincell:true;mso-position-horizontal-relative:text;margin-left:392.25pt;mso-position-horizontal:absolute;mso-position-vertical-relative:text;margin-top:-3.15pt;mso-position-vertical:absolute;width:96.40pt;height:93.00pt;mso-wrap-distance-left:9.05pt;mso-wrap-distance-top:0.00pt;mso-wrap-distance-right:9.05pt;mso-wrap-distance-bottom:0.00pt;z-index:1;" stroked="false">
                <v:imagedata r:id="rId10" o:title="" croptop="-4f" cropleft="-4f" cropbottom="-4f" cropright="-4f"/>
                <o:lock v:ext="edit" rotation="t"/>
              </v:shape>
            </w:pict>
          </mc:Fallback>
        </mc:AlternateContent>
      </w: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5096"/>
        </w:tabs>
        <w:rPr>
          <w:rFonts w:ascii="Arial Narrow" w:hAnsi="Arial Narrow" w:cs="Arial Narrow"/>
        </w:rPr>
      </w:pPr>
    </w:p>
    <w:p w:rsidR="00EA39B1" w:rsidRDefault="00EA39B1">
      <w:pPr>
        <w:tabs>
          <w:tab w:val="left" w:pos="720"/>
          <w:tab w:val="left" w:pos="900"/>
          <w:tab w:val="left" w:pos="5697"/>
          <w:tab w:val="left" w:pos="9356"/>
        </w:tabs>
        <w:ind w:left="5103" w:right="-468"/>
        <w:jc w:val="right"/>
        <w:rPr>
          <w:rFonts w:ascii="Avenir LT Std 55 Roman" w:hAnsi="Avenir LT Std 55 Roman" w:cs="Avenir LT Std 55 Roman"/>
          <w:sz w:val="16"/>
          <w:szCs w:val="16"/>
        </w:rPr>
      </w:pPr>
    </w:p>
    <w:p w:rsidR="00EA39B1" w:rsidRDefault="00A02757">
      <w:pPr>
        <w:pStyle w:val="Titre3"/>
        <w:ind w:right="-290"/>
        <w:rPr>
          <w:rFonts w:ascii="Avenir LT Std 55 Roman" w:hAnsi="Avenir LT Std 55 Roman" w:cs="Avenir LT Std 55 Roman"/>
          <w:color w:val="000000"/>
          <w:szCs w:val="24"/>
          <w:u w:val="none"/>
        </w:rPr>
      </w:pPr>
      <w:r>
        <w:rPr>
          <w:rFonts w:ascii="Avenir LT Std 55 Roman" w:hAnsi="Avenir LT Std 55 Roman" w:cs="Avenir LT Std 55 Roman"/>
          <w:szCs w:val="24"/>
          <w:u w:val="none"/>
        </w:rPr>
        <w:t>MAIRIE DE PÉRIGUEUX</w:t>
      </w:r>
    </w:p>
    <w:p w:rsidR="00EA39B1" w:rsidRDefault="00EA39B1">
      <w:pPr>
        <w:spacing w:line="120" w:lineRule="exact"/>
        <w:ind w:right="-468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pStyle w:val="Titre4"/>
        <w:ind w:right="-290"/>
        <w:rPr>
          <w:rFonts w:ascii="Avenir LT Std 55 Roman" w:hAnsi="Avenir LT Std 55 Roman" w:cs="Avenir LT Std 55 Roman"/>
          <w:color w:val="000000"/>
          <w:szCs w:val="24"/>
        </w:rPr>
      </w:pPr>
      <w:r>
        <w:rPr>
          <w:rFonts w:ascii="Avenir LT Std 55 Roman" w:hAnsi="Avenir LT Std 55 Roman" w:cs="Avenir LT Std 55 Roman"/>
          <w:color w:val="000000"/>
          <w:szCs w:val="24"/>
        </w:rPr>
        <w:t>AVIS d'APPEL PUBLIC à la CONCURRENCE</w:t>
      </w:r>
    </w:p>
    <w:p w:rsidR="00EA39B1" w:rsidRDefault="00A02757">
      <w:pPr>
        <w:tabs>
          <w:tab w:val="left" w:pos="1320"/>
          <w:tab w:val="center" w:pos="5640"/>
        </w:tabs>
        <w:ind w:right="-290"/>
        <w:jc w:val="center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_______________</w:t>
      </w:r>
    </w:p>
    <w:p w:rsidR="00EA39B1" w:rsidRDefault="00EA39B1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EA39B1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color w:val="000000"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Collectivité qui passe le marché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 xml:space="preserve"> :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sz w:val="22"/>
          <w:szCs w:val="22"/>
        </w:rPr>
        <w:t>Commune de Périgueux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>– 23, rue Wilson - B.P. 20130 – 24005 PERIGUEUX CEDEX</w:t>
      </w:r>
    </w:p>
    <w:p w:rsidR="00EA39B1" w:rsidRDefault="00A02757">
      <w:pPr>
        <w:pStyle w:val="Titre2"/>
        <w:spacing w:before="0" w:after="0"/>
        <w:jc w:val="both"/>
        <w:rPr>
          <w:rFonts w:ascii="Avenir LT Std 55 Roman" w:hAnsi="Avenir LT Std 55 Roman" w:cs="Avenir LT Std 55 Roman"/>
          <w:b w:val="0"/>
          <w:i w:val="0"/>
          <w:color w:val="000000"/>
          <w:sz w:val="22"/>
          <w:szCs w:val="22"/>
        </w:rPr>
      </w:pPr>
      <w:r>
        <w:rPr>
          <w:rFonts w:ascii="Wingdings" w:eastAsia="Wingdings" w:hAnsi="Wingdings" w:cs="Wingdings"/>
          <w:b w:val="0"/>
          <w:i w:val="0"/>
          <w:color w:val="000000"/>
          <w:sz w:val="22"/>
          <w:szCs w:val="22"/>
        </w:rPr>
        <w:t></w:t>
      </w:r>
      <w:r>
        <w:rPr>
          <w:rFonts w:ascii="Avenir LT Std 55 Roman" w:hAnsi="Avenir LT Std 55 Roman" w:cs="Avenir LT Std 55 Roman"/>
          <w:b w:val="0"/>
          <w:i w:val="0"/>
          <w:color w:val="000000"/>
          <w:sz w:val="22"/>
          <w:szCs w:val="22"/>
        </w:rPr>
        <w:t xml:space="preserve"> : 05 53 02 82 00 - </w:t>
      </w:r>
      <w:r>
        <w:rPr>
          <w:rFonts w:ascii="Wingdings" w:eastAsia="Wingdings" w:hAnsi="Wingdings" w:cs="Wingdings"/>
          <w:b w:val="0"/>
          <w:i w:val="0"/>
          <w:color w:val="000000"/>
          <w:sz w:val="22"/>
          <w:szCs w:val="22"/>
        </w:rPr>
        <w:t></w:t>
      </w:r>
      <w:r>
        <w:rPr>
          <w:rFonts w:ascii="Avenir LT Std 55 Roman" w:hAnsi="Avenir LT Std 55 Roman" w:cs="Avenir LT Std 55 Roman"/>
          <w:b w:val="0"/>
          <w:i w:val="0"/>
          <w:color w:val="000000"/>
          <w:sz w:val="22"/>
          <w:szCs w:val="22"/>
        </w:rPr>
        <w:t> : 05 53 07 09 52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i/>
          <w:color w:val="000000"/>
          <w:sz w:val="22"/>
          <w:szCs w:val="22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Pouvoir adjudicateur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 xml:space="preserve"> :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 Monsieur le Maire de Périgueux</w:t>
      </w:r>
    </w:p>
    <w:p w:rsidR="00EA39B1" w:rsidRDefault="00EA39B1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Objet du marché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 xml:space="preserve"> :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sz w:val="22"/>
          <w:szCs w:val="22"/>
        </w:rPr>
      </w:pPr>
      <w:bookmarkStart w:id="0" w:name="_GoBack"/>
      <w:r>
        <w:rPr>
          <w:rFonts w:ascii="Avenir LT Std 55 Roman" w:hAnsi="Avenir LT Std 55 Roman" w:cs="Avenir LT Std 55 Roman"/>
          <w:sz w:val="22"/>
          <w:szCs w:val="22"/>
        </w:rPr>
        <w:t>Mission d’assistance à Maîtrise d’Ouvrage pour le renouvellement de la Délégation de Service Public relative à l’exploitation du réseau de chaleur Arche au bois.</w:t>
      </w:r>
    </w:p>
    <w:bookmarkEnd w:id="0"/>
    <w:p w:rsidR="00EA39B1" w:rsidRDefault="00EA39B1">
      <w:pPr>
        <w:rPr>
          <w:rFonts w:ascii="Avenir LT Std 55 Roman" w:hAnsi="Avenir LT Std 55 Roman" w:cs="Avenir LT Std 55 Roman"/>
          <w:sz w:val="22"/>
          <w:szCs w:val="22"/>
        </w:rPr>
      </w:pPr>
    </w:p>
    <w:p w:rsidR="00EA39B1" w:rsidRDefault="00A02757">
      <w:pPr>
        <w:rPr>
          <w:rFonts w:ascii="Avenir LT Std 55 Roman" w:hAnsi="Avenir LT Std 55 Roman" w:cs="Avenir LT Std 55 Roman"/>
          <w:b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 xml:space="preserve">CPV Principal : </w:t>
      </w:r>
      <w:r>
        <w:rPr>
          <w:rStyle w:val="lev"/>
          <w:rFonts w:ascii="Avenir LT Std 55 Roman" w:hAnsi="Avenir LT Std 55 Roman" w:cs="Avenir LT Std 55 Roman"/>
          <w:b w:val="0"/>
          <w:sz w:val="22"/>
          <w:szCs w:val="22"/>
        </w:rPr>
        <w:t xml:space="preserve">71241000-9 Etudes de faisabilité, service de conseil, analyse. </w:t>
      </w:r>
    </w:p>
    <w:p w:rsidR="00EA39B1" w:rsidRDefault="00EA39B1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Caractéristiques et forme du marché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 :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sz w:val="22"/>
          <w:szCs w:val="22"/>
        </w:rPr>
        <w:t xml:space="preserve">Procédure adaptée en application </w:t>
      </w:r>
      <w:r>
        <w:rPr>
          <w:rFonts w:ascii="Avenir LT Std 55 Roman" w:hAnsi="Avenir LT Std 55 Roman" w:cs="Arial"/>
          <w:sz w:val="22"/>
          <w:szCs w:val="22"/>
        </w:rPr>
        <w:t xml:space="preserve">des articles </w:t>
      </w:r>
      <w:r>
        <w:rPr>
          <w:rFonts w:ascii="Avenir LT Std 55 Roman" w:hAnsi="Avenir LT Std 55 Roman" w:cs="Avenir LT Std 55 Roman"/>
          <w:sz w:val="22"/>
          <w:szCs w:val="22"/>
        </w:rPr>
        <w:t xml:space="preserve">L2123-1, et R2123-1 à R2123-8 </w:t>
      </w:r>
      <w:r>
        <w:rPr>
          <w:rFonts w:ascii="Avenir LT Std 55 Roman" w:hAnsi="Avenir LT Std 55 Roman" w:cs="Arial"/>
          <w:sz w:val="22"/>
          <w:szCs w:val="22"/>
        </w:rPr>
        <w:t>du Code de la Commande Publique</w:t>
      </w:r>
      <w:r>
        <w:rPr>
          <w:rFonts w:ascii="Avenir LT Std 55 Roman" w:hAnsi="Avenir LT Std 55 Roman" w:cs="Avenir LT Std 55 Roman"/>
          <w:sz w:val="22"/>
          <w:szCs w:val="22"/>
        </w:rPr>
        <w:t>, soumise au présent règlement de la consultation.</w:t>
      </w:r>
    </w:p>
    <w:p w:rsidR="00EA39B1" w:rsidRDefault="00EA39B1">
      <w:pPr>
        <w:tabs>
          <w:tab w:val="left" w:pos="9356"/>
        </w:tabs>
        <w:rPr>
          <w:rFonts w:ascii="Avenir LT Std 55 Roman" w:hAnsi="Avenir LT Std 55 Roman" w:cs="Avenir LT Std 55 Roman"/>
          <w:sz w:val="22"/>
          <w:szCs w:val="22"/>
        </w:rPr>
      </w:pPr>
    </w:p>
    <w:p w:rsidR="00EA39B1" w:rsidRDefault="00A02757">
      <w:pPr>
        <w:tabs>
          <w:tab w:val="left" w:pos="9356"/>
        </w:tabs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Décomposition en lots</w:t>
      </w:r>
      <w:r>
        <w:rPr>
          <w:rFonts w:ascii="Avenir LT Std 55 Roman" w:hAnsi="Avenir LT Std 55 Roman" w:cs="Avenir LT Std 55 Roman"/>
          <w:b/>
          <w:sz w:val="22"/>
          <w:szCs w:val="22"/>
        </w:rPr>
        <w:t> :</w:t>
      </w:r>
    </w:p>
    <w:p w:rsidR="00EA39B1" w:rsidRDefault="00EA39B1">
      <w:pPr>
        <w:tabs>
          <w:tab w:val="left" w:pos="1320"/>
          <w:tab w:val="center" w:pos="5640"/>
          <w:tab w:val="left" w:pos="9356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Au regard de sa nature, le marché sera dévolu en un seul lot. </w:t>
      </w:r>
    </w:p>
    <w:p w:rsidR="00EA39B1" w:rsidRDefault="00EA39B1">
      <w:pPr>
        <w:jc w:val="both"/>
        <w:rPr>
          <w:rFonts w:ascii="Avenir LT Std 55 Roman" w:hAnsi="Avenir LT Std 55 Roman" w:cs="Arial"/>
          <w:b/>
          <w:sz w:val="22"/>
          <w:szCs w:val="22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Durée du marché et modalités d’exécution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: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364D7A">
      <w:pPr>
        <w:jc w:val="both"/>
      </w:pPr>
      <w:r>
        <w:rPr>
          <w:rFonts w:ascii="Avenir LT Std 55 Roman" w:hAnsi="Avenir LT Std 55 Roman" w:cs="Avenir LT Std 55 Roman"/>
          <w:sz w:val="22"/>
          <w:szCs w:val="22"/>
          <w:highlight w:val="white"/>
        </w:rPr>
        <w:t>Durée prévisionnelle d</w:t>
      </w:r>
      <w:r w:rsidR="00A02757">
        <w:rPr>
          <w:rFonts w:ascii="Avenir LT Std 55 Roman" w:hAnsi="Avenir LT Std 55 Roman" w:cs="Avenir LT Std 55 Roman"/>
          <w:sz w:val="22"/>
          <w:szCs w:val="22"/>
          <w:highlight w:val="white"/>
        </w:rPr>
        <w:t>u marché :</w:t>
      </w:r>
      <w:r w:rsidR="00A02757">
        <w:rPr>
          <w:rFonts w:ascii="Avenir LT Std 55 Roman" w:hAnsi="Avenir LT Std 55 Roman" w:cs="Avenir LT Std 55 Roman"/>
          <w:sz w:val="22"/>
          <w:szCs w:val="22"/>
        </w:rPr>
        <w:t xml:space="preserve"> de </w:t>
      </w:r>
      <w:r>
        <w:rPr>
          <w:rFonts w:ascii="Avenir LT Std 55 Roman" w:hAnsi="Avenir LT Std 55 Roman" w:cs="Avenir LT Std 55 Roman"/>
          <w:sz w:val="22"/>
          <w:szCs w:val="22"/>
        </w:rPr>
        <w:t>la semaine 2 de l’année</w:t>
      </w:r>
      <w:r w:rsidR="00A02757">
        <w:rPr>
          <w:rFonts w:ascii="Avenir LT Std 55 Roman" w:hAnsi="Avenir LT Std 55 Roman" w:cs="Avenir LT Std 55 Roman"/>
          <w:sz w:val="22"/>
          <w:szCs w:val="22"/>
        </w:rPr>
        <w:t xml:space="preserve"> 2026 jusqu’à la signature du contrat de concession </w:t>
      </w:r>
      <w:r w:rsidR="00A02757">
        <w:rPr>
          <w:rFonts w:ascii="Calibri" w:eastAsia="Calibri" w:hAnsi="Calibri" w:cs="Calibri"/>
          <w:highlight w:val="white"/>
        </w:rPr>
        <w:t>(prévue troisième trimestre 2027)</w:t>
      </w:r>
      <w:r w:rsidR="00A02757">
        <w:rPr>
          <w:rFonts w:ascii="Avenir LT Std 55 Roman" w:hAnsi="Avenir LT Std 55 Roman" w:cs="Avenir LT Std 55 Roman"/>
          <w:sz w:val="22"/>
          <w:szCs w:val="22"/>
        </w:rPr>
        <w:t>.</w:t>
      </w:r>
    </w:p>
    <w:p w:rsidR="00EA39B1" w:rsidRDefault="00EA39B1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Justifications à produire (lors de la remise des offres)</w:t>
      </w:r>
      <w:r>
        <w:rPr>
          <w:rFonts w:ascii="Avenir LT Std 55 Roman" w:hAnsi="Avenir LT Std 55 Roman" w:cs="Avenir LT Std 55 Roman"/>
          <w:b/>
          <w:sz w:val="22"/>
          <w:szCs w:val="22"/>
        </w:rPr>
        <w:t xml:space="preserve"> :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sz w:val="22"/>
          <w:szCs w:val="22"/>
        </w:rPr>
        <w:t xml:space="preserve">- DC 1 complété et signé (Lettre de candidature et d’habilitation du mandataire par ses cotraitants, disponible à l’adresse suivante : </w:t>
      </w:r>
      <w:hyperlink r:id="rId11" w:tooltip="http://www.minefe.gouv.fr/" w:history="1">
        <w:r>
          <w:rPr>
            <w:rStyle w:val="Lienhypertexte"/>
            <w:rFonts w:ascii="Avenir LT Std 55 Roman" w:hAnsi="Avenir LT Std 55 Roman" w:cs="Avenir LT Std 55 Roman"/>
            <w:sz w:val="22"/>
            <w:szCs w:val="22"/>
          </w:rPr>
          <w:t>http://www.minefe.gouv.fr</w:t>
        </w:r>
      </w:hyperlink>
      <w:r>
        <w:rPr>
          <w:rFonts w:ascii="Avenir LT Std 55 Roman" w:hAnsi="Avenir LT Std 55 Roman" w:cs="Avenir LT Std 55 Roman"/>
          <w:sz w:val="22"/>
          <w:szCs w:val="22"/>
        </w:rPr>
        <w:t xml:space="preserve"> , thème : marchés publics),</w:t>
      </w:r>
    </w:p>
    <w:p w:rsidR="00EA39B1" w:rsidRDefault="00A02757">
      <w:pPr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 xml:space="preserve">- DC 2 complété et signé (Déclaration du candidat, disponible à l’adresse suivante : </w:t>
      </w:r>
      <w:hyperlink r:id="rId12" w:tooltip="http://www.minefe.gouv.fr/" w:history="1">
        <w:r>
          <w:rPr>
            <w:rStyle w:val="Lienhypertexte"/>
            <w:rFonts w:ascii="Avenir LT Std 55 Roman" w:hAnsi="Avenir LT Std 55 Roman" w:cs="Avenir LT Std 55 Roman"/>
            <w:sz w:val="22"/>
            <w:szCs w:val="22"/>
          </w:rPr>
          <w:t>http://www.minefe.gouv.fr</w:t>
        </w:r>
      </w:hyperlink>
      <w:r>
        <w:rPr>
          <w:rFonts w:ascii="Avenir LT Std 55 Roman" w:hAnsi="Avenir LT Std 55 Roman" w:cs="Avenir LT Std 55 Roman"/>
          <w:sz w:val="22"/>
          <w:szCs w:val="22"/>
        </w:rPr>
        <w:t>, thème : marchés publics),</w:t>
      </w:r>
    </w:p>
    <w:p w:rsidR="00673F11" w:rsidRDefault="00673F11">
      <w:pPr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Attestation d’assurances RC</w:t>
      </w: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sz w:val="22"/>
          <w:szCs w:val="22"/>
        </w:rPr>
        <w:t>- Qualifications professionnelles,</w:t>
      </w:r>
    </w:p>
    <w:p w:rsidR="00EA39B1" w:rsidRDefault="00A02757">
      <w:pPr>
        <w:pStyle w:val="Textebrut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Dossier de références,</w:t>
      </w:r>
    </w:p>
    <w:p w:rsidR="00EA39B1" w:rsidRDefault="00A02757">
      <w:pPr>
        <w:pStyle w:val="Textebrut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Moyens matériels et humains mis à disposition,</w:t>
      </w:r>
    </w:p>
    <w:p w:rsidR="00EA39B1" w:rsidRDefault="00A02757">
      <w:pPr>
        <w:pStyle w:val="Textebrut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Liste des sous-traitants obligatoires et leurs références (le cas échéant)</w:t>
      </w:r>
    </w:p>
    <w:p w:rsidR="00EA39B1" w:rsidRDefault="00EA39B1">
      <w:pPr>
        <w:tabs>
          <w:tab w:val="left" w:pos="1418"/>
        </w:tabs>
        <w:jc w:val="both"/>
        <w:rPr>
          <w:rFonts w:ascii="Avenir LT Std 55 Roman" w:hAnsi="Avenir LT Std 55 Roman" w:cs="Arial"/>
          <w:bCs/>
          <w:sz w:val="22"/>
          <w:szCs w:val="22"/>
        </w:rPr>
      </w:pPr>
    </w:p>
    <w:p w:rsidR="00EA39B1" w:rsidRDefault="00A02757">
      <w:pPr>
        <w:tabs>
          <w:tab w:val="left" w:pos="1418"/>
        </w:tabs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Recevabilité des candidatures</w:t>
      </w:r>
    </w:p>
    <w:p w:rsidR="00EA39B1" w:rsidRDefault="00EA39B1">
      <w:pPr>
        <w:spacing w:line="120" w:lineRule="exact"/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</w:p>
    <w:p w:rsidR="00EA39B1" w:rsidRDefault="00A02757">
      <w:pPr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Les candidatures qui ne disposent pas des capacités économiques et des capacités techniques et professionnelles nécessaires à l'exécution du marché seront écartées.</w:t>
      </w:r>
    </w:p>
    <w:p w:rsidR="00EA39B1" w:rsidRDefault="00EA39B1">
      <w:pPr>
        <w:tabs>
          <w:tab w:val="left" w:pos="1418"/>
        </w:tabs>
        <w:jc w:val="both"/>
        <w:rPr>
          <w:rFonts w:ascii="Avenir LT Std 55 Roman" w:hAnsi="Avenir LT Std 55 Roman" w:cs="Arial"/>
          <w:bCs/>
          <w:sz w:val="22"/>
          <w:szCs w:val="22"/>
        </w:rPr>
      </w:pPr>
    </w:p>
    <w:p w:rsidR="00EA39B1" w:rsidRDefault="00A02757">
      <w:pPr>
        <w:tabs>
          <w:tab w:val="left" w:pos="1418"/>
        </w:tabs>
        <w:jc w:val="both"/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lastRenderedPageBreak/>
        <w:t>Critères de choix des offres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 xml:space="preserve"> </w:t>
      </w:r>
      <w:r>
        <w:rPr>
          <w:rFonts w:ascii="Avenir LT Std 55 Roman" w:hAnsi="Avenir LT Std 55 Roman" w:cs="Avenir LT Std 55 Roman"/>
          <w:b/>
          <w:sz w:val="22"/>
          <w:szCs w:val="22"/>
        </w:rPr>
        <w:t>:</w:t>
      </w:r>
      <w:r>
        <w:rPr>
          <w:rFonts w:ascii="Avenir LT Std 55 Roman" w:hAnsi="Avenir LT Std 55 Roman" w:cs="Avenir LT Std 55 Roman"/>
          <w:sz w:val="22"/>
          <w:szCs w:val="22"/>
        </w:rPr>
        <w:t xml:space="preserve"> offre la plus avantageuse en fonction des critères énoncés ci-dessous avec leur pondération :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numPr>
          <w:ilvl w:val="0"/>
          <w:numId w:val="2"/>
        </w:numPr>
        <w:tabs>
          <w:tab w:val="clear" w:pos="708"/>
          <w:tab w:val="left" w:pos="426"/>
        </w:tabs>
        <w:ind w:hanging="720"/>
        <w:rPr>
          <w:rFonts w:ascii="Avenir LT Std 55 Roman" w:hAnsi="Avenir LT Std 55 Roman" w:cs="Avenir LT Std 55 Roman"/>
          <w:sz w:val="22"/>
          <w:szCs w:val="22"/>
          <w:lang w:eastAsia="ar-SA"/>
        </w:rPr>
      </w:pPr>
      <w:r>
        <w:rPr>
          <w:rFonts w:ascii="Avenir LT Std 55 Roman" w:hAnsi="Avenir LT Std 55 Roman" w:cs="Avenir LT Std 55 Roman"/>
          <w:sz w:val="22"/>
          <w:szCs w:val="22"/>
          <w:lang w:eastAsia="ar-SA"/>
        </w:rPr>
        <w:t xml:space="preserve">Prix : 40% </w:t>
      </w:r>
    </w:p>
    <w:p w:rsidR="00EA39B1" w:rsidRDefault="00A02757">
      <w:pPr>
        <w:numPr>
          <w:ilvl w:val="0"/>
          <w:numId w:val="2"/>
        </w:numPr>
        <w:tabs>
          <w:tab w:val="clear" w:pos="708"/>
          <w:tab w:val="left" w:pos="426"/>
        </w:tabs>
        <w:ind w:left="-567" w:firstLine="567"/>
        <w:rPr>
          <w:rFonts w:ascii="Avenir LT Std 55 Roman" w:hAnsi="Avenir LT Std 55 Roman" w:cs="Avenir LT Std 55 Roman"/>
          <w:b/>
          <w:bCs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sz w:val="22"/>
          <w:szCs w:val="22"/>
          <w:lang w:eastAsia="ar-SA"/>
        </w:rPr>
        <w:t>Valeur technique : 60%</w:t>
      </w:r>
    </w:p>
    <w:p w:rsidR="00EA39B1" w:rsidRDefault="00EA39B1">
      <w:pPr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Date limite de réception des offres</w:t>
      </w:r>
      <w:r>
        <w:rPr>
          <w:rFonts w:ascii="Avenir LT Std 55 Roman" w:hAnsi="Avenir LT Std 55 Roman" w:cs="Avenir LT Std 55 Roman"/>
          <w:sz w:val="22"/>
          <w:szCs w:val="22"/>
        </w:rPr>
        <w:t xml:space="preserve">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pStyle w:val="Titre5"/>
        <w:tabs>
          <w:tab w:val="clear" w:pos="1320"/>
          <w:tab w:val="clear" w:pos="5640"/>
        </w:tabs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Les offres devront parvenir en Mairie avant le :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60051D">
      <w:pPr>
        <w:pStyle w:val="Titre5"/>
        <w:tabs>
          <w:tab w:val="clear" w:pos="1320"/>
          <w:tab w:val="clear" w:pos="5640"/>
        </w:tabs>
        <w:rPr>
          <w:rFonts w:ascii="Avenir LT Std 55 Roman" w:hAnsi="Avenir LT Std 55 Roman" w:cs="Avenir LT Std 55 Roman"/>
          <w:b/>
          <w:sz w:val="22"/>
          <w:szCs w:val="22"/>
        </w:rPr>
      </w:pPr>
      <w:r>
        <w:rPr>
          <w:rFonts w:ascii="Avenir LT Std 55 Roman" w:hAnsi="Avenir LT Std 55 Roman" w:cs="Avenir LT Std 55 Roman"/>
          <w:b/>
          <w:sz w:val="22"/>
          <w:szCs w:val="22"/>
        </w:rPr>
        <w:t>Mardi</w:t>
      </w:r>
      <w:r w:rsidR="00A02757">
        <w:rPr>
          <w:rFonts w:ascii="Avenir LT Std 55 Roman" w:hAnsi="Avenir LT Std 55 Roman" w:cs="Avenir LT Std 55 Roman"/>
          <w:b/>
          <w:sz w:val="22"/>
          <w:szCs w:val="22"/>
        </w:rPr>
        <w:t xml:space="preserve"> </w:t>
      </w:r>
      <w:r>
        <w:rPr>
          <w:rFonts w:ascii="Avenir LT Std 55 Roman" w:hAnsi="Avenir LT Std 55 Roman" w:cs="Avenir LT Std 55 Roman"/>
          <w:b/>
          <w:sz w:val="22"/>
          <w:szCs w:val="22"/>
        </w:rPr>
        <w:t>30</w:t>
      </w:r>
      <w:r w:rsidR="00A02757">
        <w:rPr>
          <w:rFonts w:ascii="Avenir LT Std 55 Roman" w:hAnsi="Avenir LT Std 55 Roman" w:cs="Avenir LT Std 55 Roman"/>
          <w:b/>
          <w:sz w:val="22"/>
          <w:szCs w:val="22"/>
        </w:rPr>
        <w:t xml:space="preserve"> décembre 2025, 12h00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EA39B1" w:rsidRDefault="00A02757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Par l’intermédiaire du site </w:t>
      </w:r>
      <w:hyperlink r:id="rId13" w:tooltip="http://www.marches-securises.fr/" w:history="1">
        <w:r>
          <w:rPr>
            <w:rStyle w:val="Lienhypertexte"/>
            <w:rFonts w:ascii="Avenir LT Std 55 Roman" w:hAnsi="Avenir LT Std 55 Roman" w:cs="Avenir LT Std 55 Roman"/>
            <w:b/>
            <w:sz w:val="22"/>
            <w:szCs w:val="22"/>
          </w:rPr>
          <w:t>www.marches-securises.fr</w:t>
        </w:r>
      </w:hyperlink>
    </w:p>
    <w:p w:rsidR="00EA39B1" w:rsidRDefault="00EA39B1">
      <w:pPr>
        <w:spacing w:line="120" w:lineRule="exact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>Les candidatures seront entièrement rédigées en français, ou accompagnées d’une traduction intégrale.</w:t>
      </w:r>
    </w:p>
    <w:p w:rsidR="00EA39B1" w:rsidRDefault="00EA39B1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</w:p>
    <w:p w:rsidR="00EA39B1" w:rsidRDefault="00A02757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 xml:space="preserve">Retrait des dossiers de consultation </w:t>
      </w:r>
    </w:p>
    <w:p w:rsidR="00EA39B1" w:rsidRDefault="00EA39B1">
      <w:pPr>
        <w:tabs>
          <w:tab w:val="left" w:pos="1320"/>
          <w:tab w:val="center" w:pos="5640"/>
        </w:tabs>
        <w:spacing w:line="120" w:lineRule="exact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EA39B1" w:rsidRDefault="00A02757">
      <w:pPr>
        <w:jc w:val="both"/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Le dossier de consultation des entreprises pourra être obtenu gratuitement sur le site </w:t>
      </w:r>
      <w:hyperlink r:id="rId14" w:tooltip="http://www.marches-securises.fr/" w:history="1">
        <w:r>
          <w:rPr>
            <w:rStyle w:val="Lienhypertexte"/>
            <w:rFonts w:ascii="Avenir LT Std 55 Roman" w:hAnsi="Avenir LT Std 55 Roman" w:cs="Avenir LT Std 55 Roman"/>
            <w:b/>
            <w:sz w:val="22"/>
            <w:szCs w:val="22"/>
          </w:rPr>
          <w:t>www.marches-securises.fr</w:t>
        </w:r>
      </w:hyperlink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.</w:t>
      </w:r>
    </w:p>
    <w:p w:rsidR="00EA39B1" w:rsidRDefault="00EA39B1">
      <w:pPr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EA39B1" w:rsidRDefault="00A02757"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Délai de validité des offres</w:t>
      </w:r>
      <w:r>
        <w:rPr>
          <w:rFonts w:ascii="Avenir LT Std 55 Roman" w:hAnsi="Avenir LT Std 55 Roman" w:cs="Avenir LT Std 55 Roman"/>
          <w:b/>
          <w:sz w:val="22"/>
          <w:szCs w:val="22"/>
        </w:rPr>
        <w:t xml:space="preserve"> : </w:t>
      </w:r>
      <w:r>
        <w:rPr>
          <w:rFonts w:ascii="Avenir LT Std 55 Roman" w:hAnsi="Avenir LT Std 55 Roman" w:cs="Avenir LT Std 55 Roman"/>
          <w:sz w:val="22"/>
          <w:szCs w:val="22"/>
        </w:rPr>
        <w:t>200 jours.</w:t>
      </w:r>
    </w:p>
    <w:p w:rsidR="00EA39B1" w:rsidRDefault="00EA39B1">
      <w:pPr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Renseignements divers</w:t>
      </w:r>
    </w:p>
    <w:p w:rsidR="00EA39B1" w:rsidRDefault="00EA39B1">
      <w:pPr>
        <w:tabs>
          <w:tab w:val="left" w:pos="567"/>
        </w:tabs>
        <w:ind w:right="141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Recours</w:t>
      </w:r>
    </w:p>
    <w:p w:rsidR="00EA39B1" w:rsidRDefault="00EA39B1">
      <w:pPr>
        <w:spacing w:line="120" w:lineRule="exact"/>
        <w:ind w:right="141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 xml:space="preserve">Instance chargée des procédures de recours : Tribunal Administratif de BORDEAUX - 9, rue </w:t>
      </w:r>
      <w:proofErr w:type="spellStart"/>
      <w:r>
        <w:rPr>
          <w:rFonts w:ascii="Avenir LT Std 55 Roman" w:hAnsi="Avenir LT Std 55 Roman" w:cs="Arial"/>
          <w:sz w:val="22"/>
          <w:szCs w:val="22"/>
        </w:rPr>
        <w:t>Tastet</w:t>
      </w:r>
      <w:proofErr w:type="spellEnd"/>
      <w:r>
        <w:rPr>
          <w:rFonts w:ascii="Avenir LT Std 55 Roman" w:hAnsi="Avenir LT Std 55 Roman" w:cs="Arial"/>
          <w:sz w:val="22"/>
          <w:szCs w:val="22"/>
        </w:rPr>
        <w:t xml:space="preserve"> – CS21490 - 33063 BORDEAUX cedex.</w:t>
      </w:r>
    </w:p>
    <w:p w:rsidR="00EA39B1" w:rsidRDefault="00A02757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Contentieux précontractuel concernant la régularité de la procédure de publicité et de mise en concurrence – avant conclusion du contrat: contentieux au fonds en annulation pour excès de pouvoir – deux mois à compter de la décision faisant grief (décision de rejet de la candidature ou de l’offre, désignation de l’attributaire du contrat…).</w:t>
      </w:r>
    </w:p>
    <w:p w:rsidR="00EA39B1" w:rsidRDefault="00EA39B1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</w:p>
    <w:p w:rsidR="00EA39B1" w:rsidRDefault="00A02757">
      <w:pPr>
        <w:tabs>
          <w:tab w:val="left" w:pos="1320"/>
          <w:tab w:val="center" w:pos="5640"/>
        </w:tabs>
        <w:ind w:right="141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Modalités de financement et de paiement du marché</w:t>
      </w:r>
    </w:p>
    <w:p w:rsidR="00EA39B1" w:rsidRDefault="00EA39B1">
      <w:pPr>
        <w:spacing w:line="120" w:lineRule="exact"/>
        <w:ind w:right="141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EA39B1" w:rsidRDefault="00A02757">
      <w:pPr>
        <w:tabs>
          <w:tab w:val="left" w:pos="1320"/>
          <w:tab w:val="center" w:pos="5640"/>
        </w:tabs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 xml:space="preserve">La Ville de Périgueux financera l’opération objet du marché à partir de ses fonds propres. </w:t>
      </w:r>
    </w:p>
    <w:p w:rsidR="00EA39B1" w:rsidRDefault="00A02757">
      <w:pPr>
        <w:tabs>
          <w:tab w:val="left" w:pos="1320"/>
          <w:tab w:val="center" w:pos="5640"/>
        </w:tabs>
        <w:ind w:right="141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Règlement par acomptes effectués sur présentation de décomptes mensuels.</w:t>
      </w:r>
    </w:p>
    <w:p w:rsidR="00EA39B1" w:rsidRDefault="00A02757">
      <w:pPr>
        <w:tabs>
          <w:tab w:val="left" w:pos="1320"/>
          <w:tab w:val="center" w:pos="5640"/>
        </w:tabs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Transmission des factures par l’intermédiaire du logiciel Chorus pro.</w:t>
      </w:r>
    </w:p>
    <w:p w:rsidR="00EA39B1" w:rsidRDefault="00EA39B1">
      <w:pPr>
        <w:spacing w:line="120" w:lineRule="exact"/>
        <w:ind w:right="141"/>
        <w:jc w:val="both"/>
        <w:rPr>
          <w:rFonts w:ascii="Avenir LT Std 55 Roman" w:hAnsi="Avenir LT Std 55 Roman" w:cs="Arial"/>
          <w:color w:val="000000"/>
          <w:sz w:val="22"/>
          <w:szCs w:val="22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L’unité monétaire sera l’euro.</w:t>
      </w:r>
    </w:p>
    <w:p w:rsidR="00EA39B1" w:rsidRDefault="00EA39B1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Délai global de paiement</w:t>
      </w:r>
    </w:p>
    <w:p w:rsidR="00EA39B1" w:rsidRDefault="00EA39B1">
      <w:pPr>
        <w:spacing w:line="120" w:lineRule="exact"/>
        <w:ind w:right="141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EA39B1" w:rsidRDefault="00A02757">
      <w:pPr>
        <w:ind w:right="141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30 jours par mandat administratif pour chaque facture.</w:t>
      </w:r>
    </w:p>
    <w:p w:rsidR="00EA39B1" w:rsidRDefault="00EA39B1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</w:p>
    <w:p w:rsidR="00EA39B1" w:rsidRDefault="00EA39B1">
      <w:pPr>
        <w:tabs>
          <w:tab w:val="left" w:pos="1320"/>
          <w:tab w:val="center" w:pos="5640"/>
        </w:tabs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</w:p>
    <w:p w:rsidR="00EA39B1" w:rsidRDefault="00A02757">
      <w:pPr>
        <w:tabs>
          <w:tab w:val="left" w:pos="1320"/>
          <w:tab w:val="center" w:pos="5640"/>
        </w:tabs>
        <w:jc w:val="both"/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Date d'envoi à la publication</w:t>
      </w:r>
      <w:r>
        <w:rPr>
          <w:rFonts w:ascii="Avenir LT Std 55 Roman" w:hAnsi="Avenir LT Std 55 Roman" w:cs="Avenir LT Std 55 Roman"/>
          <w:sz w:val="22"/>
          <w:szCs w:val="22"/>
        </w:rPr>
        <w:t> :</w:t>
      </w:r>
      <w:r>
        <w:rPr>
          <w:rFonts w:ascii="Avenir LT Std 55 Roman" w:hAnsi="Avenir LT Std 55 Roman" w:cs="Avenir LT Std 55 Roman"/>
          <w:b/>
          <w:sz w:val="22"/>
          <w:szCs w:val="22"/>
        </w:rPr>
        <w:t xml:space="preserve"> </w:t>
      </w:r>
      <w:r w:rsidR="00652FBD">
        <w:rPr>
          <w:rFonts w:ascii="Avenir LT Std 55 Roman" w:hAnsi="Avenir LT Std 55 Roman" w:cs="Avenir LT Std 55 Roman"/>
          <w:b/>
          <w:sz w:val="22"/>
          <w:szCs w:val="22"/>
        </w:rPr>
        <w:t>Mercredi 10 Décembre</w:t>
      </w:r>
      <w:r>
        <w:rPr>
          <w:rFonts w:ascii="Avenir LT Std 55 Roman" w:hAnsi="Avenir LT Std 55 Roman" w:cs="Avenir LT Std 55 Roman"/>
          <w:b/>
          <w:sz w:val="22"/>
          <w:szCs w:val="22"/>
        </w:rPr>
        <w:t xml:space="preserve"> 2025 </w:t>
      </w:r>
    </w:p>
    <w:sectPr w:rsidR="00EA39B1">
      <w:footerReference w:type="default" r:id="rId15"/>
      <w:pgSz w:w="11906" w:h="16838"/>
      <w:pgMar w:top="719" w:right="1417" w:bottom="1417" w:left="1417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B1" w:rsidRDefault="00A02757">
      <w:r>
        <w:separator/>
      </w:r>
    </w:p>
  </w:endnote>
  <w:endnote w:type="continuationSeparator" w:id="0">
    <w:p w:rsidR="00EA39B1" w:rsidRDefault="00A0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B1" w:rsidRDefault="00A02757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52400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112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A39B1" w:rsidRDefault="00A02757">
                          <w:pPr>
                            <w:pStyle w:val="Pieddepage"/>
                            <w:rPr>
                              <w:rStyle w:val="Numrodepage"/>
                              <w:rFonts w:ascii="Avenir LT Std 55 Roman" w:hAnsi="Avenir LT Std 55 Roman" w:cs="Avenir LT Std 55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rodepage"/>
                              <w:rFonts w:ascii="Avenir LT Std 55 Roman" w:hAnsi="Avenir LT Std 55 Roman" w:cs="Avenir LT Std 55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venir LT Std 55 Roman" w:hAnsi="Avenir LT Std 55 Roman" w:cs="Avenir LT Std 55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venir LT Std 55 Roman" w:hAnsi="Avenir LT Std 55 Roman" w:cs="Avenir LT Std 55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3F11">
                            <w:rPr>
                              <w:rStyle w:val="Numrodepage"/>
                              <w:rFonts w:ascii="Avenir LT Std 55 Roman" w:hAnsi="Avenir LT Std 55 Roman" w:cs="Avenir LT Std 55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venir LT Std 55 Roman" w:hAnsi="Avenir LT Std 55 Roman" w:cs="Avenir LT Std 55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45.6pt;margin-top:.05pt;width:5.6pt;height:12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" o:allowincell="f" stroked="f">
              <v:fill opacity="0"/>
              <v:textbox inset="0,0,0,0">
                <w:txbxContent>
                  <w:p w:rsidR="00EA39B1" w:rsidRDefault="00A02757">
                    <w:pPr>
                      <w:pStyle w:val="Pieddepage"/>
                      <w:rPr>
                        <w:rStyle w:val="Numrodepage"/>
                        <w:rFonts w:ascii="Avenir LT Std 55 Roman" w:hAnsi="Avenir LT Std 55 Roman" w:cs="Avenir LT Std 55 Roman"/>
                        <w:sz w:val="20"/>
                        <w:szCs w:val="20"/>
                      </w:rPr>
                    </w:pPr>
                    <w:r>
                      <w:rPr>
                        <w:rStyle w:val="Numrodepage"/>
                        <w:rFonts w:ascii="Avenir LT Std 55 Roman" w:hAnsi="Avenir LT Std 55 Roman" w:cs="Avenir LT Std 55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rFonts w:ascii="Avenir LT Std 55 Roman" w:hAnsi="Avenir LT Std 55 Roman" w:cs="Avenir LT Std 55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venir LT Std 55 Roman" w:hAnsi="Avenir LT Std 55 Roman" w:cs="Avenir LT Std 55 Roman"/>
                        <w:sz w:val="20"/>
                        <w:szCs w:val="20"/>
                      </w:rPr>
                      <w:fldChar w:fldCharType="separate"/>
                    </w:r>
                    <w:r w:rsidR="00673F11">
                      <w:rPr>
                        <w:rStyle w:val="Numrodepage"/>
                        <w:rFonts w:ascii="Avenir LT Std 55 Roman" w:hAnsi="Avenir LT Std 55 Roman" w:cs="Avenir LT Std 55 Roman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Numrodepage"/>
                        <w:rFonts w:ascii="Avenir LT Std 55 Roman" w:hAnsi="Avenir LT Std 55 Roman" w:cs="Avenir LT Std 55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B1" w:rsidRDefault="00A02757">
      <w:r>
        <w:separator/>
      </w:r>
    </w:p>
  </w:footnote>
  <w:footnote w:type="continuationSeparator" w:id="0">
    <w:p w:rsidR="00EA39B1" w:rsidRDefault="00A0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832E5"/>
    <w:multiLevelType w:val="multilevel"/>
    <w:tmpl w:val="B1A0CB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3E55B83"/>
    <w:multiLevelType w:val="multilevel"/>
    <w:tmpl w:val="0A36FFF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967155"/>
    <w:multiLevelType w:val="multilevel"/>
    <w:tmpl w:val="8BA8365A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venir LT Std 55 Roman" w:hAnsi="Avenir LT Std 55 Roman" w:cs="Avenir LT Std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C112B"/>
    <w:multiLevelType w:val="multilevel"/>
    <w:tmpl w:val="77CC3D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1"/>
    <w:rsid w:val="00364D7A"/>
    <w:rsid w:val="0060051D"/>
    <w:rsid w:val="00652FBD"/>
    <w:rsid w:val="00673F11"/>
    <w:rsid w:val="00A02757"/>
    <w:rsid w:val="00EA39B1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2E760-B2C8-4086-8C13-AB16E89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re1">
    <w:name w:val="heading 1"/>
    <w:basedOn w:val="Normal"/>
    <w:next w:val="Normal"/>
    <w:link w:val="Titre1Car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Cs w:val="20"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tabs>
        <w:tab w:val="left" w:pos="1320"/>
        <w:tab w:val="center" w:pos="5640"/>
      </w:tabs>
      <w:jc w:val="center"/>
      <w:outlineLvl w:val="3"/>
    </w:pPr>
    <w:rPr>
      <w:rFonts w:ascii="Arial" w:hAnsi="Arial" w:cs="Arial"/>
      <w:b/>
      <w:szCs w:val="20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tabs>
        <w:tab w:val="left" w:pos="1320"/>
        <w:tab w:val="center" w:pos="5640"/>
      </w:tabs>
      <w:jc w:val="center"/>
      <w:outlineLvl w:val="4"/>
    </w:pPr>
    <w:rPr>
      <w:color w:val="000000"/>
      <w:szCs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8A303" w:themeColor="accent1"/>
      </w:tblBorders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customStyle="1" w:styleId="Titre1Car1">
    <w:name w:val="Titre 1 Car1"/>
    <w:basedOn w:val="Policepardfaut"/>
    <w:link w:val="Titre1"/>
    <w:uiPriority w:val="9"/>
    <w:rPr>
      <w:rFonts w:ascii="Arial" w:eastAsia="Arial" w:hAnsi="Arial" w:cs="Arial"/>
      <w:color w:val="117A0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117A0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117A0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117A0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117A0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117A0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117A02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117A02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551A8B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Avenir LT Std 55 Roman" w:eastAsia="Times New Roman" w:hAnsi="Avenir LT Std 55 Roman" w:cs="Avenir LT Std 55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venir LT Std 55 Roman" w:eastAsia="Times New Roman" w:hAnsi="Avenir LT Std 55 Roman" w:cs="Avenir LT Std 55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  <w:rPr>
      <w:b/>
      <w:i/>
    </w:rPr>
  </w:style>
  <w:style w:type="character" w:customStyle="1" w:styleId="WW8Num9z0">
    <w:name w:val="WW8Num9z0"/>
    <w:qFormat/>
    <w:rPr>
      <w:rFonts w:ascii="Avenir LT Std 55 Roman" w:eastAsia="Times New Roman" w:hAnsi="Avenir LT Std 55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TextebrutCar">
    <w:name w:val="Texte brut Car"/>
    <w:qFormat/>
    <w:rPr>
      <w:rFonts w:ascii="Courier New" w:hAnsi="Courier New" w:cs="Courier New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qFormat/>
  </w:style>
  <w:style w:type="character" w:customStyle="1" w:styleId="Titre1Car">
    <w:name w:val="Titre 1 Car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Char1CharCharCarCarCar1CarCarCar">
    <w:name w:val="Char1 Char Char Car Car Car1 Car Car Car"/>
    <w:basedOn w:val="Normal"/>
    <w:qFormat/>
    <w:pPr>
      <w:keepNext/>
      <w:widowControl w:val="0"/>
      <w:tabs>
        <w:tab w:val="left" w:pos="3906"/>
      </w:tabs>
      <w:ind w:hanging="360"/>
    </w:pPr>
    <w:rPr>
      <w:rFonts w:eastAsia="SimSun;宋体"/>
      <w:sz w:val="20"/>
      <w:szCs w:val="20"/>
      <w:lang w:val="en-US"/>
    </w:rPr>
  </w:style>
  <w:style w:type="paragraph" w:styleId="Textebrut">
    <w:name w:val="Plain Text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arCarCarCarCarCar">
    <w:name w:val="Car Car Car Car Car Car"/>
    <w:basedOn w:val="Normal"/>
    <w:qFormat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tyle">
    <w:name w:val="Style"/>
    <w:qFormat/>
    <w:pPr>
      <w:widowControl w:val="0"/>
    </w:pPr>
    <w:rPr>
      <w:rFonts w:ascii="Times New Roman" w:eastAsia="Times New Roman" w:hAnsi="Times New Roman" w:cs="Times New Roman"/>
      <w:lang w:bidi="ar-LY"/>
    </w:rPr>
  </w:style>
  <w:style w:type="paragraph" w:customStyle="1" w:styleId="Default">
    <w:name w:val="Default"/>
    <w:qFormat/>
    <w:rPr>
      <w:rFonts w:ascii="Symbol" w:eastAsia="Times New Roman" w:hAnsi="Symbol" w:cs="Symbol"/>
      <w:color w:val="000000"/>
      <w:lang w:bidi="ar-SA"/>
    </w:rPr>
  </w:style>
  <w:style w:type="paragraph" w:customStyle="1" w:styleId="ArtDescriptif">
    <w:name w:val="ArtDescriptif"/>
    <w:basedOn w:val="Normal"/>
    <w:qFormat/>
    <w:pPr>
      <w:spacing w:after="57"/>
      <w:ind w:left="170"/>
      <w:jc w:val="both"/>
    </w:pPr>
    <w:rPr>
      <w:rFonts w:ascii="Arial" w:eastAsia="Arial" w:hAnsi="Arial" w:cs="Arial"/>
      <w:color w:val="000000"/>
      <w:sz w:val="18"/>
    </w:rPr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rches-securise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nefe.gouv.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efe.gouv.f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hyperlink" Target="http://www.marches-securises.fr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3188</Characters>
  <Application>Microsoft Office Word</Application>
  <DocSecurity>0</DocSecurity>
  <Lines>26</Lines>
  <Paragraphs>7</Paragraphs>
  <ScaleCrop>false</ScaleCrop>
  <Company>DSIN Mairie de PERIGUEUX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Instagram</dc:title>
  <dc:subject/>
  <dc:creator>Jean-Marie Barbiche</dc:creator>
  <cp:keywords/>
  <dc:description/>
  <cp:lastModifiedBy>Marie-Christine LAPEYRONNIE</cp:lastModifiedBy>
  <cp:revision>13</cp:revision>
  <dcterms:created xsi:type="dcterms:W3CDTF">2025-12-08T08:02:00Z</dcterms:created>
  <dcterms:modified xsi:type="dcterms:W3CDTF">2025-12-09T15:43:00Z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00080006010000000000010262b10207f74006b004c800</vt:lpwstr>
  </property>
</Properties>
</file>