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2BBA" w14:textId="77777777" w:rsidR="00056E1B" w:rsidRDefault="003A1940">
      <w:pPr>
        <w:spacing w:after="120"/>
        <w:jc w:val="center"/>
      </w:pPr>
      <w:r>
        <w:rPr>
          <w:noProof/>
        </w:rPr>
        <w:drawing>
          <wp:inline distT="0" distB="0" distL="0" distR="0" wp14:anchorId="03B62BF9" wp14:editId="0FA567EC">
            <wp:extent cx="3824654" cy="1104900"/>
            <wp:effectExtent l="0" t="0" r="4445" b="0"/>
            <wp:docPr id="1" name="Logo 3CO" descr="Logo de la Communauté de Communes du Centre-Ouest" title="Logo 3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037" cy="1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5CED7" w14:textId="77777777" w:rsidR="00F87DC9" w:rsidRDefault="00F87DC9">
      <w:pPr>
        <w:pStyle w:val="Titre"/>
      </w:pPr>
    </w:p>
    <w:p w14:paraId="03B62BBC" w14:textId="7AB8F1EB" w:rsidR="00056E1B" w:rsidRDefault="003A1940">
      <w:pPr>
        <w:pStyle w:val="Titre"/>
      </w:pPr>
      <w:r>
        <w:t>AVIS D'APPEL PUBLIC À LA CONCURRENCE</w:t>
      </w:r>
    </w:p>
    <w:p w14:paraId="03B62BBD" w14:textId="77777777" w:rsidR="00056E1B" w:rsidRDefault="003A1940">
      <w:pPr>
        <w:spacing w:after="180"/>
        <w:jc w:val="center"/>
        <w:rPr>
          <w:b/>
          <w:bCs/>
          <w:color w:val="2E5C8A"/>
          <w:sz w:val="22"/>
          <w:szCs w:val="22"/>
        </w:rPr>
      </w:pPr>
      <w:r>
        <w:rPr>
          <w:b/>
          <w:bCs/>
          <w:color w:val="2E5C8A"/>
          <w:sz w:val="22"/>
          <w:szCs w:val="22"/>
        </w:rPr>
        <w:t>Procédure adaptée</w:t>
      </w:r>
    </w:p>
    <w:p w14:paraId="623356A8" w14:textId="4AEDB9BF" w:rsidR="00A85179" w:rsidRDefault="00A85179">
      <w:pPr>
        <w:spacing w:after="180"/>
        <w:jc w:val="center"/>
      </w:pPr>
      <w:r>
        <w:rPr>
          <w:b/>
          <w:bCs/>
          <w:color w:val="2E5C8A"/>
          <w:sz w:val="22"/>
          <w:szCs w:val="22"/>
        </w:rPr>
        <w:t>N° marché : 2026/3CO/001</w:t>
      </w:r>
    </w:p>
    <w:p w14:paraId="03B62BBE" w14:textId="77777777" w:rsidR="00056E1B" w:rsidRDefault="003A1940">
      <w:pPr>
        <w:spacing w:after="60"/>
      </w:pPr>
      <w:r>
        <w:rPr>
          <w:b/>
          <w:bCs/>
          <w:sz w:val="22"/>
          <w:szCs w:val="22"/>
        </w:rPr>
        <w:t>I. POUVOIR ADJUDICATEUR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6900"/>
      </w:tblGrid>
      <w:tr w:rsidR="00056E1B" w14:paraId="03B62BC1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BF" w14:textId="77777777" w:rsidR="00056E1B" w:rsidRDefault="003A1940">
            <w:r>
              <w:rPr>
                <w:b/>
                <w:bCs/>
                <w:sz w:val="19"/>
                <w:szCs w:val="19"/>
              </w:rPr>
              <w:t>Organisme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C0" w14:textId="77777777" w:rsidR="00056E1B" w:rsidRDefault="003A1940">
            <w:r>
              <w:rPr>
                <w:sz w:val="19"/>
                <w:szCs w:val="19"/>
              </w:rPr>
              <w:t>Communauté de Communes du Centre-Ouest (3CO)</w:t>
            </w:r>
          </w:p>
        </w:tc>
      </w:tr>
      <w:tr w:rsidR="00056E1B" w14:paraId="03B62BC6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C2" w14:textId="77777777" w:rsidR="00056E1B" w:rsidRDefault="003A1940">
            <w:r>
              <w:rPr>
                <w:b/>
                <w:bCs/>
                <w:sz w:val="19"/>
                <w:szCs w:val="19"/>
              </w:rPr>
              <w:t>Adresse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C3" w14:textId="77777777" w:rsidR="00056E1B" w:rsidRDefault="003A1940">
            <w:r>
              <w:rPr>
                <w:sz w:val="19"/>
                <w:szCs w:val="19"/>
              </w:rPr>
              <w:t>Etage Marché couvert de Mtsangamouji</w:t>
            </w:r>
          </w:p>
          <w:p w14:paraId="03B62BC4" w14:textId="77777777" w:rsidR="00056E1B" w:rsidRDefault="003A1940">
            <w:r>
              <w:rPr>
                <w:sz w:val="19"/>
                <w:szCs w:val="19"/>
              </w:rPr>
              <w:t>224 Boulevard Amir Ridjali</w:t>
            </w:r>
          </w:p>
          <w:p w14:paraId="03B62BC5" w14:textId="77777777" w:rsidR="00056E1B" w:rsidRDefault="003A1940">
            <w:r>
              <w:rPr>
                <w:sz w:val="19"/>
                <w:szCs w:val="19"/>
              </w:rPr>
              <w:t>97650 Mtsangamouji - Mayotte</w:t>
            </w:r>
          </w:p>
        </w:tc>
      </w:tr>
      <w:tr w:rsidR="00056E1B" w14:paraId="03B62BC9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C7" w14:textId="77777777" w:rsidR="00056E1B" w:rsidRDefault="003A1940">
            <w:r>
              <w:rPr>
                <w:b/>
                <w:bCs/>
                <w:sz w:val="19"/>
                <w:szCs w:val="19"/>
              </w:rPr>
              <w:t>Type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C8" w14:textId="77777777" w:rsidR="00056E1B" w:rsidRDefault="003A1940">
            <w:r>
              <w:rPr>
                <w:sz w:val="19"/>
                <w:szCs w:val="19"/>
              </w:rPr>
              <w:t>Collectivité territoriale (EPCI)</w:t>
            </w:r>
          </w:p>
        </w:tc>
      </w:tr>
    </w:tbl>
    <w:p w14:paraId="03B62BCA" w14:textId="77777777" w:rsidR="00056E1B" w:rsidRDefault="003A1940">
      <w:pPr>
        <w:spacing w:before="180" w:after="60"/>
      </w:pPr>
      <w:r>
        <w:rPr>
          <w:b/>
          <w:bCs/>
          <w:sz w:val="22"/>
          <w:szCs w:val="22"/>
        </w:rPr>
        <w:t>II. OBJET DU MARCHÉ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6900"/>
      </w:tblGrid>
      <w:tr w:rsidR="00056E1B" w14:paraId="03B62BCD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CB" w14:textId="77777777" w:rsidR="00056E1B" w:rsidRDefault="003A1940">
            <w:r>
              <w:rPr>
                <w:b/>
                <w:bCs/>
                <w:sz w:val="19"/>
                <w:szCs w:val="19"/>
              </w:rPr>
              <w:t>Intitulé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CC" w14:textId="7486B3AF" w:rsidR="00056E1B" w:rsidRDefault="003A1940">
            <w:r>
              <w:rPr>
                <w:sz w:val="19"/>
                <w:szCs w:val="19"/>
              </w:rPr>
              <w:t>Mission d'étude PRO-DCE pour la sécurisation des arrêts de bus du réseau TMCO</w:t>
            </w:r>
          </w:p>
        </w:tc>
      </w:tr>
      <w:tr w:rsidR="00056E1B" w14:paraId="03B62BD0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CE" w14:textId="77777777" w:rsidR="00056E1B" w:rsidRDefault="003A1940">
            <w:r>
              <w:rPr>
                <w:b/>
                <w:bCs/>
                <w:sz w:val="19"/>
                <w:szCs w:val="19"/>
              </w:rPr>
              <w:t>Type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CF" w14:textId="77777777" w:rsidR="00056E1B" w:rsidRDefault="003A1940">
            <w:r>
              <w:rPr>
                <w:sz w:val="19"/>
                <w:szCs w:val="19"/>
              </w:rPr>
              <w:t>Prestations intellectuelles - Services d'ingénierie</w:t>
            </w:r>
          </w:p>
        </w:tc>
      </w:tr>
      <w:tr w:rsidR="00056E1B" w14:paraId="03B62BD3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D1" w14:textId="77777777" w:rsidR="00056E1B" w:rsidRDefault="003A1940">
            <w:r>
              <w:rPr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D2" w14:textId="77777777" w:rsidR="00056E1B" w:rsidRDefault="003A1940">
            <w:r>
              <w:rPr>
                <w:sz w:val="19"/>
                <w:szCs w:val="19"/>
              </w:rPr>
              <w:t>Étude complète en 3 phases (diagnostic, études techniques, DCE) pour 25 arrêts</w:t>
            </w:r>
          </w:p>
        </w:tc>
      </w:tr>
      <w:tr w:rsidR="00056E1B" w14:paraId="03B62BD6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D4" w14:textId="77777777" w:rsidR="00056E1B" w:rsidRDefault="003A1940">
            <w:r>
              <w:rPr>
                <w:b/>
                <w:bCs/>
                <w:sz w:val="19"/>
                <w:szCs w:val="19"/>
              </w:rPr>
              <w:t>Lieu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D5" w14:textId="77777777" w:rsidR="00056E1B" w:rsidRDefault="003A1940">
            <w:r>
              <w:rPr>
                <w:sz w:val="19"/>
                <w:szCs w:val="19"/>
              </w:rPr>
              <w:t>5 communes du territoire 3CO (Chiconi, M'Tsangamouji, Ouangani, Sada, Tsingoni)</w:t>
            </w:r>
          </w:p>
        </w:tc>
      </w:tr>
      <w:tr w:rsidR="00056E1B" w14:paraId="03B62BD9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D7" w14:textId="77777777" w:rsidR="00056E1B" w:rsidRDefault="003A1940">
            <w:r>
              <w:rPr>
                <w:b/>
                <w:bCs/>
                <w:sz w:val="19"/>
                <w:szCs w:val="19"/>
              </w:rPr>
              <w:t>CPV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D8" w14:textId="77777777" w:rsidR="00056E1B" w:rsidRDefault="003A1940">
            <w:r>
              <w:rPr>
                <w:sz w:val="19"/>
                <w:szCs w:val="19"/>
              </w:rPr>
              <w:t>71320000-7 - Services d'ingénierie en conception</w:t>
            </w:r>
          </w:p>
        </w:tc>
      </w:tr>
      <w:tr w:rsidR="00056E1B" w14:paraId="03B62BDC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DA" w14:textId="77777777" w:rsidR="00056E1B" w:rsidRDefault="003A1940">
            <w:r>
              <w:rPr>
                <w:b/>
                <w:bCs/>
                <w:sz w:val="19"/>
                <w:szCs w:val="19"/>
              </w:rPr>
              <w:t>Durée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DB" w14:textId="77777777" w:rsidR="00056E1B" w:rsidRDefault="003A1940">
            <w:r>
              <w:rPr>
                <w:sz w:val="19"/>
                <w:szCs w:val="19"/>
              </w:rPr>
              <w:t>4 mois à compter de la notification</w:t>
            </w:r>
          </w:p>
        </w:tc>
      </w:tr>
    </w:tbl>
    <w:p w14:paraId="03B62BDD" w14:textId="77777777" w:rsidR="00056E1B" w:rsidRDefault="003A1940">
      <w:pPr>
        <w:spacing w:before="180" w:after="60"/>
      </w:pPr>
      <w:r>
        <w:rPr>
          <w:b/>
          <w:bCs/>
          <w:sz w:val="22"/>
          <w:szCs w:val="22"/>
        </w:rPr>
        <w:t>III. PROCÉDURE ET CONDITIONS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6900"/>
      </w:tblGrid>
      <w:tr w:rsidR="00056E1B" w14:paraId="03B62BE0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DE" w14:textId="77777777" w:rsidR="00056E1B" w:rsidRDefault="003A1940">
            <w:r>
              <w:rPr>
                <w:b/>
                <w:bCs/>
                <w:sz w:val="19"/>
                <w:szCs w:val="19"/>
              </w:rPr>
              <w:t>Procédure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DF" w14:textId="77777777" w:rsidR="00056E1B" w:rsidRDefault="003A1940">
            <w:r>
              <w:rPr>
                <w:sz w:val="19"/>
                <w:szCs w:val="19"/>
              </w:rPr>
              <w:t>Procédure adaptée (art. R2123-1 du CCP)</w:t>
            </w:r>
          </w:p>
        </w:tc>
      </w:tr>
      <w:tr w:rsidR="00056E1B" w14:paraId="03B62BE3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E1" w14:textId="77777777" w:rsidR="00056E1B" w:rsidRDefault="003A1940">
            <w:r>
              <w:rPr>
                <w:b/>
                <w:bCs/>
                <w:sz w:val="19"/>
                <w:szCs w:val="19"/>
              </w:rPr>
              <w:t>Conditions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E2" w14:textId="77777777" w:rsidR="00056E1B" w:rsidRDefault="003A1940">
            <w:r>
              <w:rPr>
                <w:sz w:val="19"/>
                <w:szCs w:val="19"/>
              </w:rPr>
              <w:t>Références similaires (min. 2), moyens techniques, assurances RC pro</w:t>
            </w:r>
          </w:p>
        </w:tc>
      </w:tr>
      <w:tr w:rsidR="00056E1B" w14:paraId="03B62BE6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E4" w14:textId="77777777" w:rsidR="00056E1B" w:rsidRDefault="003A1940">
            <w:r>
              <w:rPr>
                <w:b/>
                <w:bCs/>
                <w:sz w:val="19"/>
                <w:szCs w:val="19"/>
              </w:rPr>
              <w:t>Critères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E5" w14:textId="77777777" w:rsidR="00056E1B" w:rsidRDefault="003A1940">
            <w:r>
              <w:rPr>
                <w:b/>
                <w:bCs/>
                <w:sz w:val="19"/>
                <w:szCs w:val="19"/>
              </w:rPr>
              <w:t>Valeur technique 60% • Prix 40%</w:t>
            </w:r>
          </w:p>
        </w:tc>
      </w:tr>
    </w:tbl>
    <w:p w14:paraId="03B62BE7" w14:textId="77777777" w:rsidR="00056E1B" w:rsidRDefault="003A1940">
      <w:pPr>
        <w:spacing w:before="180" w:after="60"/>
      </w:pPr>
      <w:r>
        <w:rPr>
          <w:b/>
          <w:bCs/>
          <w:sz w:val="22"/>
          <w:szCs w:val="22"/>
        </w:rPr>
        <w:t>IV. MODALITÉS DE REMISE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6900"/>
      </w:tblGrid>
      <w:tr w:rsidR="00056E1B" w14:paraId="03B62BEA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E8" w14:textId="77777777" w:rsidR="00056E1B" w:rsidRDefault="003A1940">
            <w:r>
              <w:rPr>
                <w:b/>
                <w:bCs/>
                <w:sz w:val="19"/>
                <w:szCs w:val="19"/>
              </w:rPr>
              <w:t>Date limite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E9" w14:textId="3536B41B" w:rsidR="00056E1B" w:rsidRDefault="0063799E">
            <w:r>
              <w:rPr>
                <w:sz w:val="19"/>
                <w:szCs w:val="19"/>
              </w:rPr>
              <w:t xml:space="preserve">06/02/2026 </w:t>
            </w:r>
            <w:r w:rsidR="003A1940">
              <w:rPr>
                <w:sz w:val="19"/>
                <w:szCs w:val="19"/>
              </w:rPr>
              <w:t>à 12h00 (heure Mayotte)</w:t>
            </w:r>
          </w:p>
        </w:tc>
      </w:tr>
      <w:tr w:rsidR="00056E1B" w14:paraId="03B62BED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EB" w14:textId="77777777" w:rsidR="00056E1B" w:rsidRDefault="003A1940">
            <w:r>
              <w:rPr>
                <w:b/>
                <w:bCs/>
                <w:sz w:val="19"/>
                <w:szCs w:val="19"/>
              </w:rPr>
              <w:t>Remise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EC" w14:textId="77777777" w:rsidR="00056E1B" w:rsidRDefault="003A1940">
            <w:r>
              <w:rPr>
                <w:sz w:val="19"/>
                <w:szCs w:val="19"/>
              </w:rPr>
              <w:t>Dématérialisée uniquement via profil acheteur 3CO</w:t>
            </w:r>
          </w:p>
        </w:tc>
      </w:tr>
      <w:tr w:rsidR="00056E1B" w14:paraId="03B62BF0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EE" w14:textId="77777777" w:rsidR="00056E1B" w:rsidRDefault="003A1940">
            <w:r>
              <w:rPr>
                <w:b/>
                <w:bCs/>
                <w:sz w:val="19"/>
                <w:szCs w:val="19"/>
              </w:rPr>
              <w:t>Validité offres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EF" w14:textId="77777777" w:rsidR="00056E1B" w:rsidRDefault="003A1940">
            <w:r>
              <w:rPr>
                <w:sz w:val="19"/>
                <w:szCs w:val="19"/>
              </w:rPr>
              <w:t>120 jours calendaires</w:t>
            </w:r>
          </w:p>
        </w:tc>
      </w:tr>
      <w:tr w:rsidR="00056E1B" w14:paraId="03B62BF3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F1" w14:textId="77777777" w:rsidR="00056E1B" w:rsidRDefault="003A1940">
            <w:r>
              <w:rPr>
                <w:b/>
                <w:bCs/>
                <w:sz w:val="19"/>
                <w:szCs w:val="19"/>
              </w:rPr>
              <w:t>DCE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F2" w14:textId="5CBE5C61" w:rsidR="00056E1B" w:rsidRDefault="003A1940">
            <w:r>
              <w:rPr>
                <w:sz w:val="19"/>
                <w:szCs w:val="19"/>
              </w:rPr>
              <w:t>Téléchargement gratuit sur profil acheteur</w:t>
            </w:r>
            <w:r w:rsidR="00F87DC9">
              <w:rPr>
                <w:sz w:val="19"/>
                <w:szCs w:val="19"/>
              </w:rPr>
              <w:t xml:space="preserve"> </w:t>
            </w:r>
            <w:hyperlink r:id="rId8" w:history="1">
              <w:r w:rsidR="0063799E" w:rsidRPr="00752CEF">
                <w:rPr>
                  <w:rStyle w:val="Lienhypertexte"/>
                  <w:sz w:val="19"/>
                  <w:szCs w:val="19"/>
                </w:rPr>
                <w:t>https://www.marches-securises.fr/</w:t>
              </w:r>
            </w:hyperlink>
            <w:r w:rsidR="0063799E">
              <w:rPr>
                <w:sz w:val="19"/>
                <w:szCs w:val="19"/>
              </w:rPr>
              <w:t xml:space="preserve"> </w:t>
            </w:r>
          </w:p>
        </w:tc>
      </w:tr>
      <w:tr w:rsidR="00056E1B" w14:paraId="03B62BF6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03B62BF4" w14:textId="77777777" w:rsidR="00056E1B" w:rsidRDefault="003A1940">
            <w:r>
              <w:rPr>
                <w:b/>
                <w:bCs/>
                <w:sz w:val="19"/>
                <w:szCs w:val="19"/>
              </w:rPr>
              <w:t>Recours</w:t>
            </w:r>
          </w:p>
        </w:tc>
        <w:tc>
          <w:tcPr>
            <w:tcW w:w="6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62BF5" w14:textId="77777777" w:rsidR="00056E1B" w:rsidRDefault="003A1940">
            <w:r>
              <w:rPr>
                <w:sz w:val="19"/>
                <w:szCs w:val="19"/>
              </w:rPr>
              <w:t>Tribunal Administratif de Mayotte</w:t>
            </w:r>
          </w:p>
        </w:tc>
      </w:tr>
    </w:tbl>
    <w:p w14:paraId="03B62BF7" w14:textId="65C5473B" w:rsidR="00056E1B" w:rsidRDefault="003A1940">
      <w:pPr>
        <w:spacing w:before="240" w:after="60"/>
        <w:jc w:val="right"/>
      </w:pPr>
      <w:r>
        <w:rPr>
          <w:i/>
          <w:iCs/>
          <w:sz w:val="19"/>
          <w:szCs w:val="19"/>
        </w:rPr>
        <w:t>Fait à M'Tsangamouji, le</w:t>
      </w:r>
      <w:r w:rsidR="0063799E">
        <w:rPr>
          <w:i/>
          <w:iCs/>
          <w:sz w:val="19"/>
          <w:szCs w:val="19"/>
        </w:rPr>
        <w:t>06/01/2026</w:t>
      </w:r>
      <w:r>
        <w:rPr>
          <w:i/>
          <w:iCs/>
          <w:sz w:val="19"/>
          <w:szCs w:val="19"/>
        </w:rPr>
        <w:t>.</w:t>
      </w:r>
    </w:p>
    <w:p w14:paraId="03B62BF8" w14:textId="77777777" w:rsidR="00056E1B" w:rsidRDefault="003A1940">
      <w:pPr>
        <w:jc w:val="right"/>
      </w:pPr>
      <w:r>
        <w:rPr>
          <w:i/>
          <w:iCs/>
          <w:sz w:val="19"/>
          <w:szCs w:val="19"/>
        </w:rPr>
        <w:t>Le Président de la 3CO</w:t>
      </w:r>
    </w:p>
    <w:sectPr w:rsidR="00056E1B">
      <w:headerReference w:type="default" r:id="rId9"/>
      <w:footerReference w:type="default" r:id="rId10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58CD" w14:textId="77777777" w:rsidR="00A57DF5" w:rsidRDefault="00A57DF5">
      <w:r>
        <w:separator/>
      </w:r>
    </w:p>
  </w:endnote>
  <w:endnote w:type="continuationSeparator" w:id="0">
    <w:p w14:paraId="678C7352" w14:textId="77777777" w:rsidR="00A57DF5" w:rsidRDefault="00A5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2BFC" w14:textId="73F74E18" w:rsidR="00056E1B" w:rsidRDefault="003A1940">
    <w:pPr>
      <w:jc w:val="center"/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87DC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87DC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3C3E" w14:textId="77777777" w:rsidR="00A57DF5" w:rsidRDefault="00A57DF5">
      <w:r>
        <w:separator/>
      </w:r>
    </w:p>
  </w:footnote>
  <w:footnote w:type="continuationSeparator" w:id="0">
    <w:p w14:paraId="06337860" w14:textId="77777777" w:rsidR="00A57DF5" w:rsidRDefault="00A5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2BFB" w14:textId="77777777" w:rsidR="00056E1B" w:rsidRDefault="003A1940">
    <w:pPr>
      <w:jc w:val="right"/>
    </w:pPr>
    <w:r>
      <w:rPr>
        <w:color w:val="666666"/>
        <w:sz w:val="16"/>
        <w:szCs w:val="16"/>
      </w:rPr>
      <w:t>AAPC - 3CO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79DA"/>
    <w:multiLevelType w:val="hybridMultilevel"/>
    <w:tmpl w:val="F51A6B46"/>
    <w:lvl w:ilvl="0" w:tplc="E10E5848">
      <w:start w:val="1"/>
      <w:numFmt w:val="bullet"/>
      <w:lvlText w:val="●"/>
      <w:lvlJc w:val="left"/>
      <w:pPr>
        <w:ind w:left="720" w:hanging="360"/>
      </w:pPr>
    </w:lvl>
    <w:lvl w:ilvl="1" w:tplc="18A4C03E">
      <w:start w:val="1"/>
      <w:numFmt w:val="bullet"/>
      <w:lvlText w:val="○"/>
      <w:lvlJc w:val="left"/>
      <w:pPr>
        <w:ind w:left="1440" w:hanging="360"/>
      </w:pPr>
    </w:lvl>
    <w:lvl w:ilvl="2" w:tplc="89E0CB58">
      <w:start w:val="1"/>
      <w:numFmt w:val="bullet"/>
      <w:lvlText w:val="■"/>
      <w:lvlJc w:val="left"/>
      <w:pPr>
        <w:ind w:left="2160" w:hanging="360"/>
      </w:pPr>
    </w:lvl>
    <w:lvl w:ilvl="3" w:tplc="730C21A2">
      <w:start w:val="1"/>
      <w:numFmt w:val="bullet"/>
      <w:lvlText w:val="●"/>
      <w:lvlJc w:val="left"/>
      <w:pPr>
        <w:ind w:left="2880" w:hanging="360"/>
      </w:pPr>
    </w:lvl>
    <w:lvl w:ilvl="4" w:tplc="C45EF1D6">
      <w:start w:val="1"/>
      <w:numFmt w:val="bullet"/>
      <w:lvlText w:val="○"/>
      <w:lvlJc w:val="left"/>
      <w:pPr>
        <w:ind w:left="3600" w:hanging="360"/>
      </w:pPr>
    </w:lvl>
    <w:lvl w:ilvl="5" w:tplc="31120F30">
      <w:start w:val="1"/>
      <w:numFmt w:val="bullet"/>
      <w:lvlText w:val="■"/>
      <w:lvlJc w:val="left"/>
      <w:pPr>
        <w:ind w:left="4320" w:hanging="360"/>
      </w:pPr>
    </w:lvl>
    <w:lvl w:ilvl="6" w:tplc="EBB890E4">
      <w:start w:val="1"/>
      <w:numFmt w:val="bullet"/>
      <w:lvlText w:val="●"/>
      <w:lvlJc w:val="left"/>
      <w:pPr>
        <w:ind w:left="5040" w:hanging="360"/>
      </w:pPr>
    </w:lvl>
    <w:lvl w:ilvl="7" w:tplc="F6FEF076">
      <w:start w:val="1"/>
      <w:numFmt w:val="bullet"/>
      <w:lvlText w:val="●"/>
      <w:lvlJc w:val="left"/>
      <w:pPr>
        <w:ind w:left="5760" w:hanging="360"/>
      </w:pPr>
    </w:lvl>
    <w:lvl w:ilvl="8" w:tplc="A8A8C6F8">
      <w:start w:val="1"/>
      <w:numFmt w:val="bullet"/>
      <w:lvlText w:val="●"/>
      <w:lvlJc w:val="left"/>
      <w:pPr>
        <w:ind w:left="6480" w:hanging="360"/>
      </w:pPr>
    </w:lvl>
  </w:abstractNum>
  <w:num w:numId="1" w16cid:durableId="5378176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1B"/>
    <w:rsid w:val="00056E1B"/>
    <w:rsid w:val="003A1940"/>
    <w:rsid w:val="0063799E"/>
    <w:rsid w:val="009F5A56"/>
    <w:rsid w:val="00A57DF5"/>
    <w:rsid w:val="00A85179"/>
    <w:rsid w:val="00CF0EB1"/>
    <w:rsid w:val="00D525AC"/>
    <w:rsid w:val="00F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2BBA"/>
  <w15:docId w15:val="{9BCC27A1-2675-428F-85CC-8273D08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pPr>
      <w:spacing w:before="120" w:after="120"/>
      <w:jc w:val="center"/>
    </w:pPr>
    <w:rPr>
      <w:b/>
      <w:bCs/>
      <w:color w:val="1F4E78"/>
      <w:sz w:val="40"/>
      <w:szCs w:val="40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63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securises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Anassi DANIEL</cp:lastModifiedBy>
  <cp:revision>5</cp:revision>
  <dcterms:created xsi:type="dcterms:W3CDTF">2026-01-06T13:43:00Z</dcterms:created>
  <dcterms:modified xsi:type="dcterms:W3CDTF">2026-01-06T14:24:00Z</dcterms:modified>
</cp:coreProperties>
</file>