
<file path=[Content_Types].xml><?xml version="1.0" encoding="utf-8"?>
<Types xmlns="http://schemas.openxmlformats.org/package/2006/content-types">
  <Default Extension="bin" ContentType="image/unknow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7FAB6" w14:textId="77777777" w:rsidR="00A817C2" w:rsidRDefault="00C54F60">
      <w:pPr>
        <w:spacing w:after="300"/>
        <w:jc w:val="center"/>
      </w:pPr>
      <w:r>
        <w:rPr>
          <w:noProof/>
        </w:rPr>
        <w:drawing>
          <wp:inline distT="0" distB="0" distL="0" distR="0" wp14:anchorId="65F7FB12" wp14:editId="65F7FB13">
            <wp:extent cx="3810000" cy="1143000"/>
            <wp:effectExtent l="0" t="0" r="0" b="0"/>
            <wp:docPr id="1" name="Logo" descr="Logo 3CO" title="Logo 3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7FAB7" w14:textId="026B1465" w:rsidR="00A817C2" w:rsidRDefault="00C54F60">
      <w:pPr>
        <w:spacing w:before="200" w:after="300"/>
        <w:jc w:val="center"/>
      </w:pPr>
      <w:r>
        <w:rPr>
          <w:b/>
          <w:bCs/>
          <w:color w:val="2E75B6"/>
          <w:sz w:val="32"/>
          <w:szCs w:val="32"/>
        </w:rPr>
        <w:t>AVIS D</w:t>
      </w:r>
      <w:r w:rsidR="00C84CDF">
        <w:rPr>
          <w:b/>
          <w:bCs/>
          <w:color w:val="2E75B6"/>
          <w:sz w:val="32"/>
          <w:szCs w:val="32"/>
        </w:rPr>
        <w:t>’</w:t>
      </w:r>
      <w:r>
        <w:rPr>
          <w:b/>
          <w:bCs/>
          <w:color w:val="2E75B6"/>
          <w:sz w:val="32"/>
          <w:szCs w:val="32"/>
        </w:rPr>
        <w:t>APPEL PUBLIC À LA CONCURRENCE</w:t>
      </w:r>
    </w:p>
    <w:p w14:paraId="65F7FAB8" w14:textId="395DF4AD" w:rsidR="00A817C2" w:rsidRDefault="00C54F60">
      <w:pPr>
        <w:spacing w:after="400"/>
        <w:jc w:val="center"/>
      </w:pPr>
      <w:r>
        <w:rPr>
          <w:b/>
          <w:bCs/>
          <w:sz w:val="26"/>
          <w:szCs w:val="26"/>
        </w:rPr>
        <w:t xml:space="preserve">Acquisition de véhicules </w:t>
      </w:r>
      <w:r w:rsidR="00C84CDF">
        <w:rPr>
          <w:b/>
          <w:bCs/>
          <w:sz w:val="26"/>
          <w:szCs w:val="26"/>
        </w:rPr>
        <w:t>de services</w:t>
      </w:r>
      <w:r>
        <w:rPr>
          <w:b/>
          <w:bCs/>
          <w:sz w:val="26"/>
          <w:szCs w:val="26"/>
        </w:rPr>
        <w:t xml:space="preserve"> et VAE pour la 3CO</w:t>
      </w:r>
    </w:p>
    <w:p w14:paraId="65F7FAB9" w14:textId="3E5EFF94" w:rsidR="00A817C2" w:rsidRDefault="00C54F60">
      <w:pPr>
        <w:pStyle w:val="Titre1"/>
      </w:pPr>
      <w:r>
        <w:t>1. IDENTIFICATION DE L</w:t>
      </w:r>
      <w:r w:rsidR="00C84CDF">
        <w:t>’</w:t>
      </w:r>
      <w:r>
        <w:t>ORGANISME QUI PASSE LE MARCHÉ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9"/>
        <w:gridCol w:w="6025"/>
      </w:tblGrid>
      <w:tr w:rsidR="00A817C2" w14:paraId="65F7FABC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BA" w14:textId="77777777" w:rsidR="00A817C2" w:rsidRDefault="00C54F60">
            <w:r>
              <w:rPr>
                <w:b/>
                <w:bCs/>
              </w:rPr>
              <w:t>Pouvoir adjudicateur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BB" w14:textId="77777777" w:rsidR="00A817C2" w:rsidRDefault="00C54F60">
            <w:r>
              <w:t>Communauté de Communes du Centre-Ouest (3CO)</w:t>
            </w:r>
          </w:p>
        </w:tc>
      </w:tr>
      <w:tr w:rsidR="00A817C2" w14:paraId="65F7FABF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BD" w14:textId="77777777" w:rsidR="00A817C2" w:rsidRDefault="00C54F60">
            <w:r>
              <w:rPr>
                <w:b/>
                <w:bCs/>
              </w:rPr>
              <w:t>Adresse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BE" w14:textId="77777777" w:rsidR="00A817C2" w:rsidRDefault="00C54F60">
            <w:r>
              <w:t>224 Boulevard Amir Ridjali, 97650 Mtsangamouji, Mayotte</w:t>
            </w:r>
          </w:p>
        </w:tc>
      </w:tr>
      <w:tr w:rsidR="00A817C2" w14:paraId="65F7FAC2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C0" w14:textId="77777777" w:rsidR="00A817C2" w:rsidRDefault="00C54F60">
            <w:r>
              <w:rPr>
                <w:b/>
                <w:bCs/>
              </w:rPr>
              <w:t>Contact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C1" w14:textId="58F4DE0F" w:rsidR="00A817C2" w:rsidRDefault="00C54F60">
            <w:r>
              <w:t xml:space="preserve">Service des marchés publics – DGAST </w:t>
            </w:r>
            <w:proofErr w:type="gramStart"/>
            <w:r>
              <w:t>Email</w:t>
            </w:r>
            <w:proofErr w:type="gramEnd"/>
            <w:r>
              <w:t xml:space="preserve"> : </w:t>
            </w:r>
            <w:hyperlink r:id="rId6" w:history="1">
              <w:r w:rsidR="005A0821" w:rsidRPr="00973E10">
                <w:rPr>
                  <w:rStyle w:val="Lienhypertexte"/>
                </w:rPr>
                <w:t>dgast@3comayotte.fr</w:t>
              </w:r>
            </w:hyperlink>
            <w:r w:rsidR="005A0821">
              <w:t xml:space="preserve"> </w:t>
            </w:r>
          </w:p>
        </w:tc>
      </w:tr>
      <w:tr w:rsidR="00A817C2" w14:paraId="65F7FAC5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C3" w14:textId="77777777" w:rsidR="00A817C2" w:rsidRDefault="00C54F60">
            <w:r>
              <w:rPr>
                <w:b/>
                <w:bCs/>
              </w:rPr>
              <w:t>Type de pouvoir adjudicateur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C4" w14:textId="77777777" w:rsidR="00A817C2" w:rsidRDefault="00C54F60">
            <w:r>
              <w:t>Collectivité territoriale</w:t>
            </w:r>
          </w:p>
        </w:tc>
      </w:tr>
    </w:tbl>
    <w:p w14:paraId="65F7FAC6" w14:textId="77777777" w:rsidR="00A817C2" w:rsidRDefault="00A817C2">
      <w:pPr>
        <w:spacing w:before="300" w:after="300"/>
      </w:pPr>
    </w:p>
    <w:p w14:paraId="65F7FAC7" w14:textId="77777777" w:rsidR="00A817C2" w:rsidRDefault="00C54F60">
      <w:pPr>
        <w:pStyle w:val="Titre1"/>
      </w:pPr>
      <w:r>
        <w:t>2. OBJET DU MARCHÉ</w:t>
      </w:r>
    </w:p>
    <w:p w14:paraId="65F7FAC8" w14:textId="77777777" w:rsidR="00A817C2" w:rsidRDefault="00C54F60">
      <w:pPr>
        <w:spacing w:after="200"/>
      </w:pPr>
      <w:r>
        <w:rPr>
          <w:b/>
          <w:bCs/>
          <w:sz w:val="24"/>
          <w:szCs w:val="24"/>
        </w:rPr>
        <w:t>Contexte et objectifs</w:t>
      </w:r>
    </w:p>
    <w:p w14:paraId="65F7FAC9" w14:textId="2580CFC0" w:rsidR="00A817C2" w:rsidRDefault="00C54F60">
      <w:pPr>
        <w:spacing w:after="180"/>
      </w:pPr>
      <w:r>
        <w:t>Dans le cadre du renouvellement de son parc de véhicules de service, la 3CO souhaite évoluer vers des alternatives propres et douces. Ce choix s</w:t>
      </w:r>
      <w:r w:rsidR="00C84CDF">
        <w:t>’</w:t>
      </w:r>
      <w:r>
        <w:t>;inscrit dans le projet de siège intercommunal en construction, intégrant une centrale photovoltaïque de 36 kWc et 7 bornes de recharge pour véhicules électriques et VAE.</w:t>
      </w:r>
    </w:p>
    <w:p w14:paraId="65F7FACA" w14:textId="1A78B08A" w:rsidR="00A817C2" w:rsidRDefault="00C54F60">
      <w:pPr>
        <w:spacing w:after="180"/>
      </w:pPr>
      <w:r>
        <w:t>Afin de répondre aux besoins de ses services, la 3CO prévoit l</w:t>
      </w:r>
      <w:r w:rsidR="00C84CDF">
        <w:t>’</w:t>
      </w:r>
      <w:r>
        <w:t>acquisition d</w:t>
      </w:r>
      <w:r w:rsidR="00C84CDF">
        <w:t>’</w:t>
      </w:r>
      <w:r>
        <w:t xml:space="preserve">un utilitaire </w:t>
      </w:r>
      <w:r w:rsidR="00E73DCF">
        <w:t xml:space="preserve">de type </w:t>
      </w:r>
      <w:r>
        <w:t xml:space="preserve">Goupil G4 </w:t>
      </w:r>
      <w:r w:rsidR="00E73DCF">
        <w:t xml:space="preserve">ou équivalent </w:t>
      </w:r>
      <w:r>
        <w:t>pour l</w:t>
      </w:r>
      <w:r w:rsidR="00C84CDF">
        <w:t>’</w:t>
      </w:r>
      <w:r>
        <w:t>équipe de nettoyage des plages, rivières et sites touristiques, de 2 scooters électriques pour réduire les temps de trajets et de trois vélos à assistance électrique pour les courtes distances.</w:t>
      </w:r>
    </w:p>
    <w:p w14:paraId="65F7FACB" w14:textId="23195835" w:rsidR="00A817C2" w:rsidRDefault="00C54F60">
      <w:pPr>
        <w:spacing w:after="200"/>
      </w:pPr>
      <w:r>
        <w:t>Les véhicules électriques, adaptés aux missions des agents, permettront de diminuer les coûts d</w:t>
      </w:r>
      <w:r w:rsidR="00C84CDF">
        <w:t>’</w:t>
      </w:r>
      <w:r>
        <w:t>;exploitation et de maintenance tout en réduisant les émissions de gaz à effet de serre et en améliorant la qualité de l</w:t>
      </w:r>
      <w:r w:rsidR="00C84CDF">
        <w:t>’</w:t>
      </w:r>
      <w:r>
        <w:t>air.</w:t>
      </w:r>
    </w:p>
    <w:p w14:paraId="65F7FACC" w14:textId="0A91DC35" w:rsidR="00A817C2" w:rsidRDefault="00C54F60">
      <w:pPr>
        <w:spacing w:before="200" w:after="120"/>
      </w:pPr>
      <w:r>
        <w:rPr>
          <w:b/>
          <w:bCs/>
        </w:rPr>
        <w:t xml:space="preserve">N° internes de marchés : </w:t>
      </w:r>
      <w:r>
        <w:t>2026/3CO/00</w:t>
      </w:r>
      <w:r w:rsidR="00D3069A">
        <w:t>2</w:t>
      </w:r>
      <w:r>
        <w:t xml:space="preserve"> à 2026/3CO/00</w:t>
      </w:r>
      <w:r w:rsidR="00D3069A">
        <w:t>5</w:t>
      </w:r>
    </w:p>
    <w:p w14:paraId="65F7FACD" w14:textId="77777777" w:rsidR="00A817C2" w:rsidRDefault="00A817C2">
      <w:pPr>
        <w:spacing w:before="200" w:after="12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0"/>
        <w:gridCol w:w="6024"/>
        <w:gridCol w:w="1800"/>
      </w:tblGrid>
      <w:tr w:rsidR="00A817C2" w14:paraId="65F7FAD1" w14:textId="77777777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7FACE" w14:textId="77777777" w:rsidR="00A817C2" w:rsidRDefault="00C54F60">
            <w:pPr>
              <w:jc w:val="center"/>
            </w:pPr>
            <w:r>
              <w:rPr>
                <w:b/>
                <w:bCs/>
                <w:color w:val="FFFFFF"/>
              </w:rPr>
              <w:t>LOT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7FACF" w14:textId="77777777" w:rsidR="00A817C2" w:rsidRDefault="00C54F60">
            <w:pPr>
              <w:jc w:val="center"/>
            </w:pPr>
            <w:r>
              <w:rPr>
                <w:b/>
                <w:bCs/>
                <w:color w:val="FFFFFF"/>
              </w:rPr>
              <w:t>DÉSIGNATION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7FAD0" w14:textId="77777777" w:rsidR="00A817C2" w:rsidRDefault="00C54F60">
            <w:pPr>
              <w:jc w:val="center"/>
            </w:pPr>
            <w:r>
              <w:rPr>
                <w:b/>
                <w:bCs/>
                <w:color w:val="FFFFFF"/>
              </w:rPr>
              <w:t>MONTANT ESTIMATIF</w:t>
            </w:r>
          </w:p>
        </w:tc>
      </w:tr>
      <w:tr w:rsidR="00A817C2" w14:paraId="65F7FAD5" w14:textId="77777777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2" w14:textId="77777777" w:rsidR="00A817C2" w:rsidRDefault="00C54F60">
            <w:pPr>
              <w:jc w:val="center"/>
            </w:pPr>
            <w:r>
              <w:rPr>
                <w:b/>
                <w:bCs/>
              </w:rPr>
              <w:t>Lot 1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3" w14:textId="77777777" w:rsidR="00A817C2" w:rsidRDefault="00C54F60">
            <w:r>
              <w:t>Deux (2) véhicules tout-terrain type SUV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4" w14:textId="77777777" w:rsidR="00A817C2" w:rsidRDefault="00C54F60">
            <w:pPr>
              <w:jc w:val="right"/>
            </w:pPr>
            <w:r>
              <w:t>90 000 € HT</w:t>
            </w:r>
          </w:p>
        </w:tc>
      </w:tr>
      <w:tr w:rsidR="00A817C2" w14:paraId="65F7FAD9" w14:textId="77777777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6" w14:textId="77777777" w:rsidR="00A817C2" w:rsidRDefault="00C54F60">
            <w:pPr>
              <w:jc w:val="center"/>
            </w:pPr>
            <w:r>
              <w:rPr>
                <w:b/>
                <w:bCs/>
              </w:rPr>
              <w:t>Lot 2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7" w14:textId="10A7EEDD" w:rsidR="00A817C2" w:rsidRDefault="00C54F60">
            <w:r>
              <w:t xml:space="preserve">Un (1) véhicule utilitaire électrique </w:t>
            </w:r>
            <w:r w:rsidR="00793B62">
              <w:t xml:space="preserve">type </w:t>
            </w:r>
            <w:r>
              <w:t>Goupil G4</w:t>
            </w:r>
            <w:r w:rsidR="00793B62">
              <w:t xml:space="preserve"> ou équivalent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8" w14:textId="77777777" w:rsidR="00A817C2" w:rsidRDefault="00C54F60">
            <w:pPr>
              <w:jc w:val="right"/>
            </w:pPr>
            <w:r>
              <w:t>40 000 € HT</w:t>
            </w:r>
          </w:p>
        </w:tc>
      </w:tr>
      <w:tr w:rsidR="00A817C2" w14:paraId="65F7FADD" w14:textId="77777777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A" w14:textId="77777777" w:rsidR="00A817C2" w:rsidRDefault="00C54F60">
            <w:pPr>
              <w:jc w:val="center"/>
            </w:pPr>
            <w:r>
              <w:rPr>
                <w:b/>
                <w:bCs/>
              </w:rPr>
              <w:lastRenderedPageBreak/>
              <w:t>Lot 3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B" w14:textId="77777777" w:rsidR="00A817C2" w:rsidRDefault="00C54F60">
            <w:r>
              <w:t>Deux (2) scooters électriques 3 roues 125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C" w14:textId="77777777" w:rsidR="00A817C2" w:rsidRDefault="00C54F60">
            <w:pPr>
              <w:jc w:val="right"/>
            </w:pPr>
            <w:r>
              <w:t>15 000 € HT</w:t>
            </w:r>
          </w:p>
        </w:tc>
      </w:tr>
      <w:tr w:rsidR="00A817C2" w14:paraId="65F7FAE1" w14:textId="77777777">
        <w:tc>
          <w:tcPr>
            <w:tcW w:w="12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E" w14:textId="77777777" w:rsidR="00A817C2" w:rsidRDefault="00C54F60">
            <w:pPr>
              <w:jc w:val="center"/>
            </w:pPr>
            <w:r>
              <w:rPr>
                <w:b/>
                <w:bCs/>
              </w:rPr>
              <w:t>Lot 4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DF" w14:textId="77777777" w:rsidR="00A817C2" w:rsidRDefault="00C54F60">
            <w:r>
              <w:t>Trois (3) VTT à assistance électrique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E0" w14:textId="77777777" w:rsidR="00A817C2" w:rsidRDefault="00C54F60">
            <w:pPr>
              <w:jc w:val="right"/>
            </w:pPr>
            <w:r>
              <w:t>6 000 € HT</w:t>
            </w:r>
          </w:p>
        </w:tc>
      </w:tr>
      <w:tr w:rsidR="00A817C2" w14:paraId="65F7FAE4" w14:textId="77777777">
        <w:tc>
          <w:tcPr>
            <w:tcW w:w="722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F7FAE2" w14:textId="77777777" w:rsidR="00A817C2" w:rsidRDefault="00C54F60">
            <w:pPr>
              <w:jc w:val="right"/>
            </w:pPr>
            <w:r>
              <w:rPr>
                <w:b/>
                <w:bCs/>
              </w:rPr>
              <w:t>MONTANT TOTAL ESTIMATIF</w:t>
            </w:r>
          </w:p>
        </w:tc>
        <w:tc>
          <w:tcPr>
            <w:tcW w:w="18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F7FAE3" w14:textId="77777777" w:rsidR="00A817C2" w:rsidRDefault="00C54F60">
            <w:pPr>
              <w:jc w:val="right"/>
            </w:pPr>
            <w:r>
              <w:rPr>
                <w:b/>
                <w:bCs/>
              </w:rPr>
              <w:t>151 000 € HT</w:t>
            </w:r>
          </w:p>
        </w:tc>
      </w:tr>
    </w:tbl>
    <w:p w14:paraId="65F7FAE5" w14:textId="77777777" w:rsidR="00A817C2" w:rsidRDefault="00A817C2">
      <w:pPr>
        <w:spacing w:before="300" w:after="300"/>
      </w:pPr>
    </w:p>
    <w:p w14:paraId="65F7FAE6" w14:textId="77777777" w:rsidR="00A817C2" w:rsidRDefault="00C54F60">
      <w:pPr>
        <w:pStyle w:val="Titre1"/>
      </w:pPr>
      <w:r>
        <w:t>3. PROCÉDURE DE PASSATION</w:t>
      </w:r>
    </w:p>
    <w:p w14:paraId="65F7FAE7" w14:textId="77777777" w:rsidR="00A817C2" w:rsidRDefault="00C54F60">
      <w:pPr>
        <w:spacing w:after="120"/>
      </w:pPr>
      <w:r>
        <w:rPr>
          <w:b/>
          <w:bCs/>
        </w:rPr>
        <w:t xml:space="preserve">Type de procédure : </w:t>
      </w:r>
      <w:r>
        <w:t>Procédure adaptée</w:t>
      </w:r>
    </w:p>
    <w:p w14:paraId="65F7FAE8" w14:textId="77777777" w:rsidR="00A817C2" w:rsidRDefault="00C54F60">
      <w:pPr>
        <w:spacing w:after="120"/>
      </w:pPr>
      <w:r>
        <w:rPr>
          <w:b/>
          <w:bCs/>
        </w:rPr>
        <w:t xml:space="preserve">Base légale : </w:t>
      </w:r>
      <w:r>
        <w:t>Articles L. 2123-1 et R. 2123-1 du Code de la commande publique</w:t>
      </w:r>
    </w:p>
    <w:p w14:paraId="65F7FAE9" w14:textId="77777777" w:rsidR="00A817C2" w:rsidRDefault="00C54F60">
      <w:pPr>
        <w:spacing w:after="120"/>
      </w:pPr>
      <w:r>
        <w:rPr>
          <w:b/>
          <w:bCs/>
        </w:rPr>
        <w:t xml:space="preserve">Modalités : </w:t>
      </w:r>
      <w:r>
        <w:t>Marché alloti - possibilité de candidater à un ou plusieurs lots</w:t>
      </w:r>
    </w:p>
    <w:p w14:paraId="65F7FAEA" w14:textId="77777777" w:rsidR="00A817C2" w:rsidRDefault="00A817C2">
      <w:pPr>
        <w:spacing w:before="300" w:after="300"/>
      </w:pPr>
    </w:p>
    <w:p w14:paraId="65F7FAEB" w14:textId="45D6A35B" w:rsidR="00A817C2" w:rsidRDefault="00C54F60">
      <w:pPr>
        <w:pStyle w:val="Titre1"/>
      </w:pPr>
      <w:r>
        <w:t>4. CRITÈRES D</w:t>
      </w:r>
      <w:r w:rsidR="00C84CDF">
        <w:t>’</w:t>
      </w:r>
      <w:r>
        <w:t>;ATTRIBUTION</w:t>
      </w:r>
    </w:p>
    <w:p w14:paraId="65F7FAEC" w14:textId="4B808B50" w:rsidR="00A817C2" w:rsidRDefault="00C54F60">
      <w:pPr>
        <w:spacing w:after="200"/>
      </w:pPr>
      <w:r>
        <w:t>Le marché sera attribué à l</w:t>
      </w:r>
      <w:r w:rsidR="00C84CDF">
        <w:t>’</w:t>
      </w:r>
      <w:r>
        <w:t>;offre économiquement la plus avantageuse appréciée en fonction des critères suivants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24"/>
        <w:gridCol w:w="2500"/>
      </w:tblGrid>
      <w:tr w:rsidR="00A817C2" w14:paraId="65F7FAEF" w14:textId="77777777"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F7FAED" w14:textId="77777777" w:rsidR="00A817C2" w:rsidRDefault="00C54F60">
            <w:pPr>
              <w:jc w:val="center"/>
            </w:pPr>
            <w:r>
              <w:rPr>
                <w:b/>
                <w:bCs/>
                <w:color w:val="FFFFFF"/>
              </w:rPr>
              <w:t>CRITÈRE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2E75B6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5F7FAEE" w14:textId="77777777" w:rsidR="00A817C2" w:rsidRDefault="00C54F60">
            <w:pPr>
              <w:jc w:val="center"/>
            </w:pPr>
            <w:r>
              <w:rPr>
                <w:b/>
                <w:bCs/>
                <w:color w:val="FFFFFF"/>
              </w:rPr>
              <w:t>PONDÉRATION</w:t>
            </w:r>
          </w:p>
        </w:tc>
      </w:tr>
      <w:tr w:rsidR="00A817C2" w14:paraId="65F7FAF2" w14:textId="77777777"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0" w14:textId="77777777" w:rsidR="00A817C2" w:rsidRDefault="00C54F60">
            <w:r>
              <w:t>Prix des prestations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1" w14:textId="77777777" w:rsidR="00A817C2" w:rsidRDefault="00C54F60">
            <w:pPr>
              <w:jc w:val="center"/>
            </w:pPr>
            <w:r>
              <w:rPr>
                <w:b/>
                <w:bCs/>
              </w:rPr>
              <w:t>40 %</w:t>
            </w:r>
          </w:p>
        </w:tc>
      </w:tr>
      <w:tr w:rsidR="00A817C2" w14:paraId="65F7FAF5" w14:textId="77777777"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3" w14:textId="77777777" w:rsidR="00A817C2" w:rsidRDefault="00C54F60">
            <w:r>
              <w:t>Valeur technique des véhicules proposés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4" w14:textId="77777777" w:rsidR="00A817C2" w:rsidRDefault="00C54F60">
            <w:pPr>
              <w:jc w:val="center"/>
            </w:pPr>
            <w:r>
              <w:rPr>
                <w:b/>
                <w:bCs/>
              </w:rPr>
              <w:t>35 %</w:t>
            </w:r>
          </w:p>
        </w:tc>
      </w:tr>
      <w:tr w:rsidR="00A817C2" w14:paraId="65F7FAF8" w14:textId="77777777"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6" w14:textId="77777777" w:rsidR="00A817C2" w:rsidRDefault="00C54F60">
            <w:r>
              <w:t>Délai de livraison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7" w14:textId="77777777" w:rsidR="00A817C2" w:rsidRDefault="00C54F60">
            <w:pPr>
              <w:jc w:val="center"/>
            </w:pPr>
            <w:r>
              <w:rPr>
                <w:b/>
                <w:bCs/>
              </w:rPr>
              <w:t>15 %</w:t>
            </w:r>
          </w:p>
        </w:tc>
      </w:tr>
      <w:tr w:rsidR="00A817C2" w14:paraId="65F7FAFB" w14:textId="77777777">
        <w:tc>
          <w:tcPr>
            <w:tcW w:w="6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9" w14:textId="77777777" w:rsidR="00A817C2" w:rsidRDefault="00C54F60">
            <w:r>
              <w:t>Garanties et services après-vente</w:t>
            </w:r>
          </w:p>
        </w:tc>
        <w:tc>
          <w:tcPr>
            <w:tcW w:w="2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A" w14:textId="77777777" w:rsidR="00A817C2" w:rsidRDefault="00C54F60">
            <w:pPr>
              <w:jc w:val="center"/>
            </w:pPr>
            <w:r>
              <w:rPr>
                <w:b/>
                <w:bCs/>
              </w:rPr>
              <w:t>10 %</w:t>
            </w:r>
          </w:p>
        </w:tc>
      </w:tr>
    </w:tbl>
    <w:p w14:paraId="65F7FAFC" w14:textId="77777777" w:rsidR="00A817C2" w:rsidRDefault="00A817C2">
      <w:pPr>
        <w:spacing w:before="300" w:after="300"/>
      </w:pPr>
    </w:p>
    <w:p w14:paraId="65F7FAFD" w14:textId="77777777" w:rsidR="00A817C2" w:rsidRDefault="00C54F60">
      <w:pPr>
        <w:pStyle w:val="Titre1"/>
      </w:pPr>
      <w:r>
        <w:t>5. CALENDRIER PRÉVISIONNEL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99"/>
        <w:gridCol w:w="4525"/>
      </w:tblGrid>
      <w:tr w:rsidR="00A817C2" w14:paraId="65F7FB00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E" w14:textId="77777777" w:rsidR="00A817C2" w:rsidRDefault="00C54F60">
            <w:r>
              <w:rPr>
                <w:b/>
                <w:bCs/>
              </w:rPr>
              <w:t>Date limite de réception des offres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AFF" w14:textId="77777777" w:rsidR="00A817C2" w:rsidRDefault="00C54F60">
            <w:r>
              <w:t>20 février 2026 à 12h00 (heure de Mayotte)</w:t>
            </w:r>
          </w:p>
        </w:tc>
      </w:tr>
      <w:tr w:rsidR="00A817C2" w14:paraId="65F7FB03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B01" w14:textId="77777777" w:rsidR="00A817C2" w:rsidRDefault="00C54F60">
            <w:r>
              <w:rPr>
                <w:b/>
                <w:bCs/>
              </w:rPr>
              <w:t>Date prévisionnelle de notification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B02" w14:textId="77777777" w:rsidR="00A817C2" w:rsidRDefault="00C54F60">
            <w:r>
              <w:t>31 mars 2026</w:t>
            </w:r>
          </w:p>
        </w:tc>
      </w:tr>
      <w:tr w:rsidR="00A817C2" w14:paraId="65F7FB06" w14:textId="77777777">
        <w:tc>
          <w:tcPr>
            <w:tcW w:w="45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5E8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B04" w14:textId="77777777" w:rsidR="00A817C2" w:rsidRDefault="00C54F60">
            <w:r>
              <w:rPr>
                <w:b/>
                <w:bCs/>
              </w:rPr>
              <w:t>Délai de livraison maximum</w:t>
            </w:r>
          </w:p>
        </w:tc>
        <w:tc>
          <w:tcPr>
            <w:tcW w:w="4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F7FB05" w14:textId="77777777" w:rsidR="00A817C2" w:rsidRDefault="00C54F60">
            <w:r>
              <w:t>6 mois après notification</w:t>
            </w:r>
          </w:p>
        </w:tc>
      </w:tr>
    </w:tbl>
    <w:p w14:paraId="65F7FB07" w14:textId="77777777" w:rsidR="00A817C2" w:rsidRDefault="00A817C2">
      <w:pPr>
        <w:spacing w:before="300" w:after="300"/>
      </w:pPr>
    </w:p>
    <w:p w14:paraId="65F7FB08" w14:textId="5712EBC8" w:rsidR="00A817C2" w:rsidRDefault="00C54F60">
      <w:pPr>
        <w:pStyle w:val="Titre1"/>
      </w:pPr>
      <w:r>
        <w:t>6. MODALITÉS D</w:t>
      </w:r>
      <w:r w:rsidR="00C84CDF">
        <w:t>’</w:t>
      </w:r>
      <w:r>
        <w:t>OBTENTION DU DOSSIER</w:t>
      </w:r>
    </w:p>
    <w:p w14:paraId="65F7FB09" w14:textId="721DE414" w:rsidR="00A817C2" w:rsidRDefault="00C54F60">
      <w:pPr>
        <w:spacing w:after="120"/>
      </w:pPr>
      <w:r>
        <w:t>Le dossier de consultation des entreprises (DCE) peut être téléchargé gratuitement à l</w:t>
      </w:r>
      <w:r w:rsidR="00C84CDF">
        <w:t>’</w:t>
      </w:r>
      <w:r>
        <w:t>adresse suivante :</w:t>
      </w:r>
      <w:r w:rsidR="00B74833">
        <w:t xml:space="preserve"> </w:t>
      </w:r>
      <w:hyperlink r:id="rId7" w:history="1">
        <w:r w:rsidR="00B74833" w:rsidRPr="00973E10">
          <w:rPr>
            <w:rStyle w:val="Lienhypertexte"/>
          </w:rPr>
          <w:t>https://www.marches-securises.fr</w:t>
        </w:r>
      </w:hyperlink>
      <w:r w:rsidR="00B74833">
        <w:t xml:space="preserve">   </w:t>
      </w:r>
    </w:p>
    <w:p w14:paraId="65F7FB0B" w14:textId="77777777" w:rsidR="00A817C2" w:rsidRDefault="00A817C2">
      <w:pPr>
        <w:spacing w:before="300" w:after="300"/>
      </w:pPr>
    </w:p>
    <w:p w14:paraId="65F7FB0C" w14:textId="77777777" w:rsidR="00A817C2" w:rsidRDefault="00C54F60">
      <w:pPr>
        <w:pStyle w:val="Titre1"/>
      </w:pPr>
      <w:r>
        <w:t>7. RENSEIGNEMENTS COMPLÉMENTAIRES</w:t>
      </w:r>
    </w:p>
    <w:p w14:paraId="65F7FB0D" w14:textId="77777777" w:rsidR="00A817C2" w:rsidRDefault="00C54F60">
      <w:pPr>
        <w:spacing w:after="120"/>
      </w:pPr>
      <w:r>
        <w:t xml:space="preserve">Pour tout renseignement complémentaire, les candidats peuvent contacter le service des marchés publics de la 3CO par courriel : </w:t>
      </w:r>
      <w:r>
        <w:rPr>
          <w:b/>
          <w:bCs/>
        </w:rPr>
        <w:t>dgast@3comayotte.fr</w:t>
      </w:r>
    </w:p>
    <w:p w14:paraId="65F7FB0E" w14:textId="77777777" w:rsidR="00A817C2" w:rsidRDefault="00C54F60">
      <w:pPr>
        <w:spacing w:before="120" w:after="120"/>
      </w:pPr>
      <w:r>
        <w:lastRenderedPageBreak/>
        <w:t>Les demandes de renseignements doivent être formulées au moins 10 jours calendaires avant la date limite de remise des offres.</w:t>
      </w:r>
    </w:p>
    <w:p w14:paraId="65F7FB0F" w14:textId="77777777" w:rsidR="00A817C2" w:rsidRDefault="00A817C2">
      <w:pPr>
        <w:spacing w:before="400" w:after="200"/>
      </w:pPr>
    </w:p>
    <w:p w14:paraId="65F7FB10" w14:textId="77777777" w:rsidR="00A817C2" w:rsidRDefault="00C54F60">
      <w:pPr>
        <w:spacing w:before="400"/>
      </w:pPr>
      <w:r>
        <w:rPr>
          <w:i/>
          <w:iCs/>
        </w:rPr>
        <w:t>Fait à Mayotte, le 14 janvier 2026</w:t>
      </w:r>
    </w:p>
    <w:p w14:paraId="65F7FB11" w14:textId="77777777" w:rsidR="00A817C2" w:rsidRDefault="00C54F60">
      <w:pPr>
        <w:spacing w:before="200"/>
      </w:pPr>
      <w:r>
        <w:rPr>
          <w:b/>
          <w:bCs/>
        </w:rPr>
        <w:t>Le Président de la Communauté de Communes du Centre-Ouest</w:t>
      </w:r>
    </w:p>
    <w:sectPr w:rsidR="00A817C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7A3"/>
    <w:multiLevelType w:val="hybridMultilevel"/>
    <w:tmpl w:val="18DACF5E"/>
    <w:lvl w:ilvl="0" w:tplc="EEAA8534">
      <w:start w:val="1"/>
      <w:numFmt w:val="bullet"/>
      <w:lvlText w:val="●"/>
      <w:lvlJc w:val="left"/>
      <w:pPr>
        <w:ind w:left="720" w:hanging="360"/>
      </w:pPr>
    </w:lvl>
    <w:lvl w:ilvl="1" w:tplc="BF362C2E">
      <w:start w:val="1"/>
      <w:numFmt w:val="bullet"/>
      <w:lvlText w:val="○"/>
      <w:lvlJc w:val="left"/>
      <w:pPr>
        <w:ind w:left="1440" w:hanging="360"/>
      </w:pPr>
    </w:lvl>
    <w:lvl w:ilvl="2" w:tplc="371C91DC">
      <w:start w:val="1"/>
      <w:numFmt w:val="bullet"/>
      <w:lvlText w:val="■"/>
      <w:lvlJc w:val="left"/>
      <w:pPr>
        <w:ind w:left="2160" w:hanging="360"/>
      </w:pPr>
    </w:lvl>
    <w:lvl w:ilvl="3" w:tplc="2B96A154">
      <w:start w:val="1"/>
      <w:numFmt w:val="bullet"/>
      <w:lvlText w:val="●"/>
      <w:lvlJc w:val="left"/>
      <w:pPr>
        <w:ind w:left="2880" w:hanging="360"/>
      </w:pPr>
    </w:lvl>
    <w:lvl w:ilvl="4" w:tplc="87CAD15E">
      <w:start w:val="1"/>
      <w:numFmt w:val="bullet"/>
      <w:lvlText w:val="○"/>
      <w:lvlJc w:val="left"/>
      <w:pPr>
        <w:ind w:left="3600" w:hanging="360"/>
      </w:pPr>
    </w:lvl>
    <w:lvl w:ilvl="5" w:tplc="BC3E0FD4">
      <w:start w:val="1"/>
      <w:numFmt w:val="bullet"/>
      <w:lvlText w:val="■"/>
      <w:lvlJc w:val="left"/>
      <w:pPr>
        <w:ind w:left="4320" w:hanging="360"/>
      </w:pPr>
    </w:lvl>
    <w:lvl w:ilvl="6" w:tplc="880468EC">
      <w:start w:val="1"/>
      <w:numFmt w:val="bullet"/>
      <w:lvlText w:val="●"/>
      <w:lvlJc w:val="left"/>
      <w:pPr>
        <w:ind w:left="5040" w:hanging="360"/>
      </w:pPr>
    </w:lvl>
    <w:lvl w:ilvl="7" w:tplc="88280A10">
      <w:start w:val="1"/>
      <w:numFmt w:val="bullet"/>
      <w:lvlText w:val="●"/>
      <w:lvlJc w:val="left"/>
      <w:pPr>
        <w:ind w:left="5760" w:hanging="360"/>
      </w:pPr>
    </w:lvl>
    <w:lvl w:ilvl="8" w:tplc="440849CC">
      <w:start w:val="1"/>
      <w:numFmt w:val="bullet"/>
      <w:lvlText w:val="●"/>
      <w:lvlJc w:val="left"/>
      <w:pPr>
        <w:ind w:left="6480" w:hanging="360"/>
      </w:pPr>
    </w:lvl>
  </w:abstractNum>
  <w:num w:numId="1" w16cid:durableId="3967825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7C2"/>
    <w:rsid w:val="005A0821"/>
    <w:rsid w:val="00793B62"/>
    <w:rsid w:val="00A35D97"/>
    <w:rsid w:val="00A631C1"/>
    <w:rsid w:val="00A817C2"/>
    <w:rsid w:val="00B74833"/>
    <w:rsid w:val="00C54F60"/>
    <w:rsid w:val="00C84CDF"/>
    <w:rsid w:val="00D3069A"/>
    <w:rsid w:val="00E73DCF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FAB6"/>
  <w15:docId w15:val="{8FDB2DA5-E98D-4024-AE09-B0E971C21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240" w:after="120"/>
      <w:outlineLvl w:val="0"/>
    </w:pPr>
    <w:rPr>
      <w:b/>
      <w:bCs/>
      <w:color w:val="2E75B6"/>
      <w:sz w:val="28"/>
      <w:szCs w:val="28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B74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gast@3comayotte.fr" TargetMode="External"/><Relationship Id="rId5" Type="http://schemas.openxmlformats.org/officeDocument/2006/relationships/image" Target="media/image1.bin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Anassi DANIEL</cp:lastModifiedBy>
  <cp:revision>8</cp:revision>
  <dcterms:created xsi:type="dcterms:W3CDTF">2026-01-15T07:54:00Z</dcterms:created>
  <dcterms:modified xsi:type="dcterms:W3CDTF">2026-01-19T13:49:00Z</dcterms:modified>
</cp:coreProperties>
</file>