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504" w14:textId="77777777" w:rsidR="002567FF" w:rsidRDefault="00CB2049">
      <w:pPr>
        <w:spacing w:before="2" w:after="435" w:line="323" w:lineRule="exact"/>
        <w:jc w:val="center"/>
        <w:textAlignment w:val="baseline"/>
        <w:rPr>
          <w:rFonts w:ascii="Arial" w:eastAsia="Arial" w:hAnsi="Arial"/>
          <w:color w:val="000000"/>
          <w:sz w:val="28"/>
          <w:lang w:val="fr-FR"/>
        </w:rPr>
      </w:pPr>
      <w:r>
        <w:rPr>
          <w:rFonts w:ascii="Arial" w:eastAsia="Arial" w:hAnsi="Arial"/>
          <w:color w:val="000000"/>
          <w:sz w:val="28"/>
          <w:lang w:val="fr-FR"/>
        </w:rPr>
        <w:t>AVIS D’APPEL PUBLIC À LA CONCURRENCE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7973"/>
      </w:tblGrid>
      <w:tr w:rsidR="002567FF" w:rsidRPr="00F75B5F" w14:paraId="759A5B72" w14:textId="77777777" w:rsidTr="00F75B5F">
        <w:trPr>
          <w:trHeight w:hRule="exact" w:val="1235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51B847F8" w14:textId="77777777" w:rsidR="002567FF" w:rsidRDefault="00CB2049">
            <w:pPr>
              <w:spacing w:before="531" w:after="952" w:line="230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>I.1 Nom et adresse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D3CE" w14:textId="70AD3D8D" w:rsidR="002567FF" w:rsidRDefault="00CB2049">
            <w:pPr>
              <w:spacing w:before="168"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À l’attention de </w:t>
            </w:r>
            <w:r w:rsidR="00C11680">
              <w:rPr>
                <w:rFonts w:ascii="Arial" w:eastAsia="Arial" w:hAnsi="Arial"/>
                <w:color w:val="000000"/>
                <w:sz w:val="20"/>
                <w:lang w:val="fr-FR"/>
              </w:rPr>
              <w:t>M</w:t>
            </w:r>
            <w:r w:rsidR="00010CC2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adame </w:t>
            </w:r>
            <w:r w:rsidR="00C11680">
              <w:rPr>
                <w:rFonts w:ascii="Arial" w:eastAsia="Arial" w:hAnsi="Arial"/>
                <w:color w:val="000000"/>
                <w:sz w:val="20"/>
                <w:lang w:val="fr-FR"/>
              </w:rPr>
              <w:t>l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>a</w:t>
            </w:r>
            <w:r w:rsidR="00C11680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Président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>e</w:t>
            </w:r>
          </w:p>
          <w:p w14:paraId="18A35018" w14:textId="0142BCB7" w:rsidR="00C11680" w:rsidRPr="00C11680" w:rsidRDefault="00C11680" w:rsidP="00C11680">
            <w:pPr>
              <w:spacing w:line="23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C11680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Communauté de Communes 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>CAP Val de Saône</w:t>
            </w:r>
          </w:p>
          <w:p w14:paraId="54F14043" w14:textId="77777777" w:rsidR="00F75B5F" w:rsidRPr="00F75B5F" w:rsidRDefault="00F75B5F" w:rsidP="00F75B5F">
            <w:pPr>
              <w:spacing w:line="20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F75B5F">
              <w:rPr>
                <w:rFonts w:ascii="Arial" w:eastAsia="Arial" w:hAnsi="Arial"/>
                <w:color w:val="000000"/>
                <w:sz w:val="20"/>
                <w:lang w:val="fr-FR"/>
              </w:rPr>
              <w:t>Ruelle de Richebourg</w:t>
            </w:r>
          </w:p>
          <w:p w14:paraId="4C445C6B" w14:textId="463B2F1E" w:rsidR="002567FF" w:rsidRDefault="00F75B5F" w:rsidP="00F75B5F">
            <w:pPr>
              <w:spacing w:line="20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F75B5F">
              <w:rPr>
                <w:rFonts w:ascii="Arial" w:eastAsia="Arial" w:hAnsi="Arial"/>
                <w:color w:val="000000"/>
                <w:sz w:val="20"/>
                <w:lang w:val="fr-FR"/>
              </w:rPr>
              <w:t>21130 - Auxonne</w:t>
            </w:r>
          </w:p>
        </w:tc>
      </w:tr>
      <w:tr w:rsidR="002567FF" w:rsidRPr="00010CC2" w14:paraId="485E37A0" w14:textId="77777777" w:rsidTr="005B00DB">
        <w:trPr>
          <w:trHeight w:hRule="exact" w:val="709"/>
        </w:trPr>
        <w:tc>
          <w:tcPr>
            <w:tcW w:w="2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DB317CE" w14:textId="77777777" w:rsidR="002567FF" w:rsidRPr="005B00DB" w:rsidRDefault="00CB2049">
            <w:pPr>
              <w:spacing w:before="392" w:after="583" w:line="23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>I.2 Communication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50930" w14:textId="36C68D08" w:rsidR="002567FF" w:rsidRPr="00C544DA" w:rsidRDefault="00CB2049" w:rsidP="00C11680">
            <w:pPr>
              <w:spacing w:before="136" w:line="225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>Les documents du marché sont disponibles gratuitement en accès direct non restreint et complet, à l’adresse :</w:t>
            </w: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</w:t>
            </w:r>
            <w:hyperlink r:id="rId5" w:history="1">
              <w:r w:rsidR="00C544DA" w:rsidRPr="00C544DA">
                <w:rPr>
                  <w:rStyle w:val="Lienhypertexte"/>
                  <w:lang w:val="fr-FR"/>
                </w:rPr>
                <w:t>https://</w:t>
              </w:r>
            </w:hyperlink>
            <w:r w:rsidR="00C544DA" w:rsidRPr="00C544DA">
              <w:rPr>
                <w:rStyle w:val="Lienhypertexte"/>
                <w:lang w:val="fr-FR"/>
              </w:rPr>
              <w:t>marches-securises.fr</w:t>
            </w:r>
            <w:r w:rsidR="00C544DA" w:rsidRPr="00C544DA">
              <w:rPr>
                <w:lang w:val="fr-FR"/>
              </w:rPr>
              <w:t xml:space="preserve">  </w:t>
            </w:r>
          </w:p>
        </w:tc>
      </w:tr>
      <w:tr w:rsidR="002567FF" w:rsidRPr="00010CC2" w14:paraId="302E3247" w14:textId="77777777" w:rsidTr="005B00DB">
        <w:trPr>
          <w:trHeight w:hRule="exact" w:val="675"/>
        </w:trPr>
        <w:tc>
          <w:tcPr>
            <w:tcW w:w="2875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188D003" w14:textId="77777777" w:rsidR="002567FF" w:rsidRPr="005B00DB" w:rsidRDefault="002567FF">
            <w:pPr>
              <w:rPr>
                <w:rFonts w:ascii="Arial" w:eastAsia="Arial" w:hAnsi="Arial"/>
                <w:color w:val="000000"/>
                <w:sz w:val="20"/>
                <w:lang w:val="fr-FR"/>
              </w:rPr>
            </w:pP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0E997" w14:textId="2B3CC185" w:rsidR="002567FF" w:rsidRPr="00C544DA" w:rsidRDefault="00CB2049">
            <w:pPr>
              <w:spacing w:line="223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Les candidatures et les offres doivent être envoyées par voie électronique via l’adresse : </w:t>
            </w:r>
            <w:hyperlink r:id="rId6" w:history="1">
              <w:r w:rsidR="00C544DA" w:rsidRPr="00C544DA">
                <w:rPr>
                  <w:rStyle w:val="Lienhypertexte"/>
                  <w:lang w:val="fr-FR"/>
                </w:rPr>
                <w:t>https://</w:t>
              </w:r>
            </w:hyperlink>
            <w:r w:rsidR="00C544DA" w:rsidRPr="00C544DA">
              <w:rPr>
                <w:rStyle w:val="Lienhypertexte"/>
                <w:lang w:val="fr-FR"/>
              </w:rPr>
              <w:t>marches-securises.fr</w:t>
            </w:r>
            <w:r w:rsidR="00C544DA" w:rsidRPr="00C544DA">
              <w:rPr>
                <w:lang w:val="fr-FR"/>
              </w:rPr>
              <w:t xml:space="preserve">  </w:t>
            </w:r>
          </w:p>
        </w:tc>
      </w:tr>
      <w:tr w:rsidR="002567FF" w:rsidRPr="00733410" w14:paraId="6D27150F" w14:textId="77777777" w:rsidTr="00733410">
        <w:trPr>
          <w:trHeight w:hRule="exact" w:val="12086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BA143" w14:textId="77777777" w:rsidR="002567FF" w:rsidRDefault="00CB2049">
            <w:pPr>
              <w:spacing w:before="4663" w:after="4860" w:line="230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lastRenderedPageBreak/>
              <w:t>II.1.1 Intitulé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E85" w14:textId="0AB49269" w:rsidR="002567FF" w:rsidRDefault="005B00DB" w:rsidP="005B00DB">
            <w:pPr>
              <w:spacing w:before="151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>Cont</w:t>
            </w: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rat multiservices de concession </w:t>
            </w: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du service public d'eau potable et d’assainissement pour le périmètre </w:t>
            </w:r>
            <w:r w:rsidR="003950C9">
              <w:rPr>
                <w:rFonts w:ascii="Arial" w:eastAsia="Arial" w:hAnsi="Arial"/>
                <w:color w:val="000000"/>
                <w:sz w:val="20"/>
                <w:lang w:val="fr-FR"/>
              </w:rPr>
              <w:t>Nord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</w:t>
            </w: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de la 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>communauté de communes</w:t>
            </w:r>
            <w:r w:rsidRPr="005B00DB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</w:t>
            </w:r>
            <w:r w:rsidR="00CB2049">
              <w:rPr>
                <w:rFonts w:ascii="Arial" w:eastAsia="Arial" w:hAnsi="Arial"/>
                <w:color w:val="000000"/>
                <w:sz w:val="20"/>
                <w:lang w:val="fr-FR"/>
              </w:rPr>
              <w:t>attribuée conformément aux articles L. 1411-1 et suivants du Code Général des Collectivités Territoriales</w:t>
            </w:r>
            <w:r w:rsidR="00EC2B55">
              <w:rPr>
                <w:rFonts w:ascii="Arial" w:eastAsia="Arial" w:hAnsi="Arial"/>
                <w:color w:val="000000"/>
                <w:sz w:val="20"/>
                <w:lang w:val="fr-FR"/>
              </w:rPr>
              <w:t>.</w:t>
            </w:r>
          </w:p>
          <w:p w14:paraId="797A9C6F" w14:textId="328802E9" w:rsidR="00C11680" w:rsidRDefault="00CB2049" w:rsidP="00C11680">
            <w:pPr>
              <w:spacing w:before="228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Les principales caractéristiques du service public </w:t>
            </w:r>
            <w:r w:rsidR="00611D0F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d’eau potable </w:t>
            </w:r>
            <w:r w:rsidR="00F75B5F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de ce secteur </w:t>
            </w: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>sont les suivantes :</w:t>
            </w:r>
          </w:p>
          <w:p w14:paraId="1D13BD71" w14:textId="12FDE04E" w:rsidR="003950C9" w:rsidRDefault="003950C9">
            <w:pPr>
              <w:spacing w:before="228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br/>
            </w:r>
            <w:r w:rsidRPr="003950C9">
              <w:rPr>
                <w:rFonts w:ascii="Arial" w:eastAsia="Arial" w:hAnsi="Arial"/>
                <w:noProof/>
                <w:color w:val="000000"/>
                <w:sz w:val="20"/>
                <w:szCs w:val="20"/>
                <w:lang w:val="fr-FR"/>
              </w:rPr>
              <w:drawing>
                <wp:inline distT="0" distB="0" distL="0" distR="0" wp14:anchorId="7A186065" wp14:editId="1436F675">
                  <wp:extent cx="4743694" cy="2514729"/>
                  <wp:effectExtent l="0" t="0" r="0" b="0"/>
                  <wp:docPr id="159356069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56069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694" cy="25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63C2A" w14:textId="23209766" w:rsidR="002567FF" w:rsidRDefault="00CB2049">
            <w:pPr>
              <w:spacing w:before="228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  <w:r w:rsidRPr="0080354D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Les principales caractéristiques du service public </w:t>
            </w:r>
            <w:r w:rsidR="00C11680" w:rsidRPr="0080354D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>d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>’</w:t>
            </w:r>
            <w:r w:rsidR="00611D0F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>a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ssainissement </w:t>
            </w:r>
            <w:r w:rsidRPr="0080354D"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>sont les suivantes :</w:t>
            </w:r>
          </w:p>
          <w:p w14:paraId="3EAF3FA8" w14:textId="2161B4BB" w:rsidR="003950C9" w:rsidRPr="0080354D" w:rsidRDefault="003950C9">
            <w:pPr>
              <w:spacing w:before="228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  <w:t xml:space="preserve">Le nombre de contrôle de bon fonctionnement à réaliser en ANC est de 59 sur la durée du contrat. </w:t>
            </w:r>
          </w:p>
          <w:p w14:paraId="35AD03A8" w14:textId="17534159" w:rsidR="00733410" w:rsidRPr="0080354D" w:rsidRDefault="00733410" w:rsidP="00C32EA3">
            <w:pPr>
              <w:spacing w:before="228" w:line="232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1224B0E6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2139A91B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2D38632F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600106D5" w14:textId="6AF64C28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3C9E93D6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79B2FA16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1209CE5C" w14:textId="1AB44545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7B133251" w14:textId="77777777" w:rsidR="003950C9" w:rsidRDefault="003950C9" w:rsidP="00C32EA3">
            <w:pPr>
              <w:tabs>
                <w:tab w:val="left" w:pos="360"/>
                <w:tab w:val="left" w:pos="792"/>
              </w:tabs>
              <w:spacing w:before="189" w:line="223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</w:p>
          <w:p w14:paraId="0F6D3F6E" w14:textId="12578514" w:rsidR="002567FF" w:rsidRPr="00C32EA3" w:rsidRDefault="00010CC2" w:rsidP="00010CC2">
            <w:pPr>
              <w:tabs>
                <w:tab w:val="left" w:pos="360"/>
                <w:tab w:val="left" w:pos="792"/>
              </w:tabs>
              <w:spacing w:before="189" w:line="223" w:lineRule="exact"/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fr-FR"/>
              </w:rPr>
            </w:pPr>
            <w:r w:rsidRPr="00010CC2">
              <w:rPr>
                <w:rFonts w:ascii="Arial" w:eastAsia="Arial" w:hAnsi="Arial"/>
                <w:noProof/>
                <w:color w:val="000000"/>
                <w:sz w:val="20"/>
                <w:szCs w:val="20"/>
                <w:lang w:val="fr-FR"/>
              </w:rPr>
              <w:drawing>
                <wp:inline distT="0" distB="0" distL="0" distR="0" wp14:anchorId="429912A7" wp14:editId="056D67F7">
                  <wp:extent cx="4781796" cy="2540131"/>
                  <wp:effectExtent l="0" t="0" r="0" b="0"/>
                  <wp:docPr id="1827669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6937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796" cy="254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7FF" w14:paraId="51E947F1" w14:textId="77777777">
        <w:trPr>
          <w:trHeight w:hRule="exact" w:val="2103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FBFD6" w14:textId="77777777" w:rsidR="002567FF" w:rsidRDefault="00CB2049">
            <w:pPr>
              <w:spacing w:before="718" w:after="915" w:line="230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>II.2.1 Description des prestations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F310F" w14:textId="20E4BCC1" w:rsidR="002567FF" w:rsidRPr="0080354D" w:rsidRDefault="00CB2049" w:rsidP="0080354D">
            <w:pPr>
              <w:spacing w:before="232" w:line="231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Principales caractéristiques des prestations : gestion des ouvrages et équipements de</w:t>
            </w:r>
            <w:r w:rsidR="0080354D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production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>et distribution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>d’ea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u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>potable,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>gestion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>des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ab/>
              <w:t xml:space="preserve">ouvrages 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d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e collecte et traitement </w:t>
            </w:r>
            <w:r w:rsidR="0080354D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en </w:t>
            </w:r>
            <w:r w:rsidR="0080354D"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assainissement, 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entretien et renouvellement, gestion clientèle, facturation, permanence de service, rémunération auprès des abonnés</w:t>
            </w:r>
            <w:r w:rsidR="003D4E7D">
              <w:rPr>
                <w:rFonts w:ascii="Arial" w:eastAsia="Arial" w:hAnsi="Arial"/>
                <w:color w:val="000000"/>
                <w:sz w:val="20"/>
                <w:lang w:val="fr-FR"/>
              </w:rPr>
              <w:t>, gestion de l’assainissement non collectif</w:t>
            </w:r>
            <w:r w:rsidRPr="0080354D">
              <w:rPr>
                <w:rFonts w:ascii="Arial" w:eastAsia="Arial" w:hAnsi="Arial"/>
                <w:color w:val="000000"/>
                <w:sz w:val="20"/>
                <w:lang w:val="fr-FR"/>
              </w:rPr>
              <w:t>.</w:t>
            </w:r>
          </w:p>
          <w:p w14:paraId="6419EEC1" w14:textId="615341C9" w:rsidR="002567FF" w:rsidRDefault="00CB2049" w:rsidP="0080354D">
            <w:pPr>
              <w:spacing w:before="232" w:after="321" w:line="231" w:lineRule="exact"/>
              <w:ind w:left="72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Durée : </w:t>
            </w:r>
            <w:r w:rsidR="003950C9">
              <w:rPr>
                <w:rFonts w:ascii="Arial" w:eastAsia="Arial" w:hAnsi="Arial"/>
                <w:color w:val="000000"/>
                <w:sz w:val="20"/>
                <w:lang w:val="fr-FR"/>
              </w:rPr>
              <w:t>3</w:t>
            </w:r>
            <w:r w:rsidR="0080354D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ans</w:t>
            </w:r>
            <w:r w:rsidR="00C11680">
              <w:rPr>
                <w:rFonts w:ascii="Arial" w:eastAsia="Arial" w:hAnsi="Arial"/>
                <w:color w:val="000000"/>
                <w:sz w:val="20"/>
                <w:lang w:val="fr-FR"/>
              </w:rPr>
              <w:t xml:space="preserve"> </w:t>
            </w:r>
          </w:p>
        </w:tc>
      </w:tr>
      <w:tr w:rsidR="002567FF" w:rsidRPr="00010CC2" w14:paraId="53E6E7CF" w14:textId="77777777">
        <w:trPr>
          <w:trHeight w:hRule="exact" w:val="758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5F1F5" w14:textId="77777777" w:rsidR="002567FF" w:rsidRDefault="00CB2049">
            <w:pPr>
              <w:spacing w:before="156" w:after="358" w:line="234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 xml:space="preserve">II.2.2 </w:t>
            </w:r>
            <w:r>
              <w:rPr>
                <w:rFonts w:ascii="Arial" w:eastAsia="Arial" w:hAnsi="Arial"/>
                <w:b/>
                <w:i/>
                <w:color w:val="000000"/>
                <w:sz w:val="19"/>
                <w:lang w:val="fr-FR"/>
              </w:rPr>
              <w:t>Critères d’attribution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027E3" w14:textId="77777777" w:rsidR="002567FF" w:rsidRDefault="00CB2049">
            <w:pPr>
              <w:spacing w:before="159" w:after="127" w:line="231" w:lineRule="exact"/>
              <w:ind w:left="72" w:right="108"/>
              <w:jc w:val="both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>La concession est attribuée sur la base des critères énoncés dans les documents du marché.</w:t>
            </w:r>
          </w:p>
        </w:tc>
      </w:tr>
      <w:tr w:rsidR="002567FF" w:rsidRPr="00010CC2" w14:paraId="293CCBD2" w14:textId="77777777">
        <w:trPr>
          <w:trHeight w:hRule="exact" w:val="2362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7E0D1" w14:textId="77777777" w:rsidR="002567FF" w:rsidRDefault="00CB2049">
            <w:pPr>
              <w:spacing w:before="846" w:after="1044" w:line="231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 xml:space="preserve">III.1 Conditions de </w:t>
            </w: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br/>
              <w:t>participation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88BFE" w14:textId="77777777" w:rsidR="002567FF" w:rsidRDefault="00CB2049">
            <w:pPr>
              <w:tabs>
                <w:tab w:val="left" w:pos="1152"/>
                <w:tab w:val="left" w:pos="1440"/>
                <w:tab w:val="left" w:pos="3168"/>
                <w:tab w:val="left" w:pos="4680"/>
                <w:tab w:val="left" w:pos="4968"/>
                <w:tab w:val="left" w:pos="5832"/>
                <w:tab w:val="left" w:pos="6840"/>
                <w:tab w:val="right" w:pos="7848"/>
              </w:tabs>
              <w:spacing w:before="158" w:line="226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>Habilitation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à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exercer l’activité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professionnelle,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y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compris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exigences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relatives</w:t>
            </w: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  <w:t>à</w:t>
            </w:r>
          </w:p>
          <w:p w14:paraId="09FF4F7E" w14:textId="77777777" w:rsidR="002567FF" w:rsidRDefault="00CB2049">
            <w:pPr>
              <w:spacing w:before="4" w:line="226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>l’inscription au registre du commerce ou de la profession</w:t>
            </w:r>
          </w:p>
          <w:p w14:paraId="22993B70" w14:textId="77777777" w:rsidR="002567FF" w:rsidRDefault="00CB2049">
            <w:pPr>
              <w:spacing w:before="232" w:line="231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>Capacité économique et financière : critères de sélection tels que mentionnés dans les documents de la consultation</w:t>
            </w:r>
          </w:p>
          <w:p w14:paraId="6B8A0709" w14:textId="77777777" w:rsidR="002567FF" w:rsidRDefault="00CB2049">
            <w:pPr>
              <w:spacing w:before="229" w:after="353" w:line="231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color w:val="000000"/>
                <w:sz w:val="20"/>
                <w:lang w:val="fr-FR"/>
              </w:rPr>
              <w:t>Capacité technique et professionnelle : critères de sélection tels que mentionnés dans les documents de la consultation.</w:t>
            </w:r>
          </w:p>
        </w:tc>
      </w:tr>
      <w:tr w:rsidR="002567FF" w14:paraId="5210FB09" w14:textId="77777777">
        <w:trPr>
          <w:trHeight w:hRule="exact" w:val="754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41254" w14:textId="77777777" w:rsidR="002567FF" w:rsidRDefault="00CB2049">
            <w:pPr>
              <w:spacing w:before="159" w:after="132" w:line="231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>IV.1 Date limite de réception des offres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FEE97" w14:textId="54B48F5B" w:rsidR="002567FF" w:rsidRPr="00010CC2" w:rsidRDefault="00010CC2">
            <w:pPr>
              <w:spacing w:before="276" w:after="247" w:line="230" w:lineRule="exact"/>
              <w:ind w:left="82"/>
              <w:textAlignment w:val="baseline"/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</w:pPr>
            <w:r w:rsidRPr="00010CC2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>0</w:t>
            </w:r>
            <w:r w:rsidR="00820621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>6</w:t>
            </w:r>
            <w:r w:rsidRPr="00010CC2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 xml:space="preserve"> avril 2026 à 12h00</w:t>
            </w:r>
            <w:r w:rsidR="00D74C6D" w:rsidRPr="00010CC2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 xml:space="preserve"> </w:t>
            </w:r>
          </w:p>
        </w:tc>
      </w:tr>
      <w:tr w:rsidR="002567FF" w14:paraId="2E663B23" w14:textId="77777777">
        <w:trPr>
          <w:trHeight w:hRule="exact" w:val="1228"/>
        </w:trPr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B5C7C" w14:textId="77777777" w:rsidR="002567FF" w:rsidRDefault="00CB2049">
            <w:pPr>
              <w:spacing w:before="386" w:after="377" w:line="230" w:lineRule="exact"/>
              <w:ind w:left="72"/>
              <w:textAlignment w:val="baseline"/>
              <w:rPr>
                <w:rFonts w:ascii="Arial" w:eastAsia="Arial" w:hAnsi="Arial"/>
                <w:i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 xml:space="preserve">IV.2 </w:t>
            </w:r>
            <w:r>
              <w:rPr>
                <w:rFonts w:ascii="Arial" w:eastAsia="Arial" w:hAnsi="Arial"/>
                <w:b/>
                <w:i/>
                <w:color w:val="000000"/>
                <w:sz w:val="19"/>
                <w:lang w:val="fr-FR"/>
              </w:rPr>
              <w:t xml:space="preserve">Date d’envoi de l’avis à la </w:t>
            </w:r>
            <w:r>
              <w:rPr>
                <w:rFonts w:ascii="Arial" w:eastAsia="Arial" w:hAnsi="Arial"/>
                <w:i/>
                <w:color w:val="000000"/>
                <w:sz w:val="20"/>
                <w:lang w:val="fr-FR"/>
              </w:rPr>
              <w:t>publication</w:t>
            </w:r>
          </w:p>
        </w:tc>
        <w:tc>
          <w:tcPr>
            <w:tcW w:w="7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8078B" w14:textId="30C6FD5D" w:rsidR="002567FF" w:rsidRPr="00010CC2" w:rsidRDefault="00010CC2">
            <w:pPr>
              <w:spacing w:before="501" w:after="492" w:line="230" w:lineRule="exact"/>
              <w:ind w:left="82"/>
              <w:textAlignment w:val="baseline"/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</w:pPr>
            <w:r w:rsidRPr="00010CC2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 xml:space="preserve">07 février 2026 </w:t>
            </w:r>
            <w:r w:rsidR="003D4E7D" w:rsidRPr="00010CC2">
              <w:rPr>
                <w:rFonts w:ascii="Arial" w:eastAsia="Arial" w:hAnsi="Arial"/>
                <w:i/>
                <w:color w:val="000000" w:themeColor="text1"/>
                <w:sz w:val="20"/>
                <w:lang w:val="fr-FR"/>
              </w:rPr>
              <w:t xml:space="preserve"> </w:t>
            </w:r>
          </w:p>
        </w:tc>
      </w:tr>
    </w:tbl>
    <w:p w14:paraId="22F766D0" w14:textId="77777777" w:rsidR="00CB2049" w:rsidRDefault="00CB2049"/>
    <w:sectPr w:rsidR="00CB2049">
      <w:pgSz w:w="11909" w:h="16838"/>
      <w:pgMar w:top="1120" w:right="553" w:bottom="10182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65B"/>
    <w:multiLevelType w:val="hybridMultilevel"/>
    <w:tmpl w:val="BAFAA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2D72"/>
    <w:multiLevelType w:val="multilevel"/>
    <w:tmpl w:val="698A4F6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E3942"/>
    <w:multiLevelType w:val="hybridMultilevel"/>
    <w:tmpl w:val="A9744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C4873"/>
    <w:multiLevelType w:val="hybridMultilevel"/>
    <w:tmpl w:val="66262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E13"/>
    <w:multiLevelType w:val="hybridMultilevel"/>
    <w:tmpl w:val="8C727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F4561"/>
    <w:multiLevelType w:val="hybridMultilevel"/>
    <w:tmpl w:val="740A4576"/>
    <w:lvl w:ilvl="0" w:tplc="77F68F86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944265559">
    <w:abstractNumId w:val="1"/>
  </w:num>
  <w:num w:numId="2" w16cid:durableId="969940470">
    <w:abstractNumId w:val="5"/>
  </w:num>
  <w:num w:numId="3" w16cid:durableId="431053762">
    <w:abstractNumId w:val="3"/>
  </w:num>
  <w:num w:numId="4" w16cid:durableId="2052416673">
    <w:abstractNumId w:val="0"/>
  </w:num>
  <w:num w:numId="5" w16cid:durableId="453641917">
    <w:abstractNumId w:val="2"/>
  </w:num>
  <w:num w:numId="6" w16cid:durableId="1144464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FF"/>
    <w:rsid w:val="00010CC2"/>
    <w:rsid w:val="00060BA6"/>
    <w:rsid w:val="001473C8"/>
    <w:rsid w:val="002567FF"/>
    <w:rsid w:val="00323768"/>
    <w:rsid w:val="00380434"/>
    <w:rsid w:val="003950C9"/>
    <w:rsid w:val="003D4E7D"/>
    <w:rsid w:val="004154B2"/>
    <w:rsid w:val="004C78A8"/>
    <w:rsid w:val="005A227C"/>
    <w:rsid w:val="005B00DB"/>
    <w:rsid w:val="00611D0F"/>
    <w:rsid w:val="00733410"/>
    <w:rsid w:val="0080354D"/>
    <w:rsid w:val="00820621"/>
    <w:rsid w:val="008D157C"/>
    <w:rsid w:val="009B4FEE"/>
    <w:rsid w:val="00A215C5"/>
    <w:rsid w:val="00B33B50"/>
    <w:rsid w:val="00C11680"/>
    <w:rsid w:val="00C32EA3"/>
    <w:rsid w:val="00C544DA"/>
    <w:rsid w:val="00C661A7"/>
    <w:rsid w:val="00CB2049"/>
    <w:rsid w:val="00CB72AB"/>
    <w:rsid w:val="00D74C6D"/>
    <w:rsid w:val="00EC2B55"/>
    <w:rsid w:val="00F75B5F"/>
    <w:rsid w:val="00F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0F26"/>
  <w15:docId w15:val="{2445F5F6-5822-4407-B894-D8015A9A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11680"/>
    <w:pPr>
      <w:ind w:left="720"/>
      <w:contextualSpacing/>
    </w:pPr>
  </w:style>
  <w:style w:type="character" w:styleId="Lienhypertexte">
    <w:name w:val="Hyperlink"/>
    <w:uiPriority w:val="99"/>
    <w:rsid w:val="00C544DA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C5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num-bfc.fr/" TargetMode="External"/><Relationship Id="rId5" Type="http://schemas.openxmlformats.org/officeDocument/2006/relationships/hyperlink" Target="https://www.ternum-bfc.f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ARTELIAGROUP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PICARD Elodie</dc:creator>
  <cp:lastModifiedBy>Emmanuelle Vacelet</cp:lastModifiedBy>
  <cp:revision>12</cp:revision>
  <dcterms:created xsi:type="dcterms:W3CDTF">2023-01-31T11:03:00Z</dcterms:created>
  <dcterms:modified xsi:type="dcterms:W3CDTF">2026-02-04T11:28:00Z</dcterms:modified>
</cp:coreProperties>
</file>