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18CE" w14:textId="2A544904" w:rsidR="009D5700" w:rsidRDefault="00B13AD8">
      <w:pPr>
        <w:spacing w:after="200"/>
        <w:jc w:val="center"/>
      </w:pPr>
      <w:r>
        <w:rPr>
          <w:noProof/>
        </w:rPr>
        <w:drawing>
          <wp:inline distT="0" distB="0" distL="0" distR="0" wp14:anchorId="7E81EC4D" wp14:editId="6A49BF11">
            <wp:extent cx="3152775" cy="1374513"/>
            <wp:effectExtent l="0" t="0" r="0" b="0"/>
            <wp:docPr id="1276474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7459" name="Image 1276474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7704" cy="1381022"/>
                    </a:xfrm>
                    <a:prstGeom prst="rect">
                      <a:avLst/>
                    </a:prstGeom>
                  </pic:spPr>
                </pic:pic>
              </a:graphicData>
            </a:graphic>
          </wp:inline>
        </w:drawing>
      </w:r>
    </w:p>
    <w:p w14:paraId="443556E1" w14:textId="77777777" w:rsidR="00B13AD8" w:rsidRDefault="00B13AD8">
      <w:pPr>
        <w:spacing w:after="200"/>
        <w:jc w:val="center"/>
      </w:pPr>
    </w:p>
    <w:p w14:paraId="7F9B8AC9" w14:textId="77777777" w:rsidR="00B13AD8" w:rsidRDefault="00B13AD8">
      <w:pPr>
        <w:spacing w:after="200"/>
        <w:jc w:val="center"/>
      </w:pPr>
    </w:p>
    <w:p w14:paraId="420F18D1" w14:textId="77777777" w:rsidR="009D5700" w:rsidRDefault="00000000">
      <w:pPr>
        <w:pBdr>
          <w:bottom w:val="single" w:sz="8" w:space="1" w:color="2E75B6"/>
        </w:pBdr>
        <w:spacing w:before="200" w:after="100"/>
        <w:jc w:val="center"/>
      </w:pPr>
      <w:r>
        <w:rPr>
          <w:b/>
          <w:bCs/>
          <w:color w:val="1F4E79"/>
          <w:sz w:val="40"/>
          <w:szCs w:val="40"/>
        </w:rPr>
        <w:t>AVIS D'APPEL PUBLIC À LA CONCURRENCE</w:t>
      </w:r>
    </w:p>
    <w:p w14:paraId="420F18D2" w14:textId="77777777" w:rsidR="009D5700" w:rsidRDefault="00000000">
      <w:pPr>
        <w:spacing w:before="300" w:after="100"/>
        <w:jc w:val="center"/>
      </w:pPr>
      <w:r>
        <w:rPr>
          <w:b/>
          <w:bCs/>
          <w:color w:val="2E75B6"/>
          <w:sz w:val="28"/>
          <w:szCs w:val="28"/>
        </w:rPr>
        <w:t>Équipements informatiques et numériques</w:t>
      </w:r>
    </w:p>
    <w:p w14:paraId="420F18D3" w14:textId="77777777" w:rsidR="009D5700" w:rsidRPr="00B13AD8" w:rsidRDefault="00000000">
      <w:pPr>
        <w:spacing w:before="80" w:after="400"/>
        <w:jc w:val="center"/>
      </w:pPr>
      <w:r w:rsidRPr="00B13AD8">
        <w:rPr>
          <w:b/>
          <w:bCs/>
          <w:sz w:val="24"/>
          <w:szCs w:val="24"/>
        </w:rPr>
        <w:t>Marchés 2026/3CO/014 (Lot 1) et 2026/3CO/015 (Lot 2)</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5626"/>
      </w:tblGrid>
      <w:tr w:rsidR="009D5700" w14:paraId="420F18D6" w14:textId="77777777">
        <w:tc>
          <w:tcPr>
            <w:tcW w:w="34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30" w:type="dxa"/>
            </w:tcMar>
          </w:tcPr>
          <w:p w14:paraId="420F18D4" w14:textId="77777777" w:rsidR="009D5700" w:rsidRDefault="00000000">
            <w:r>
              <w:rPr>
                <w:b/>
                <w:bCs/>
                <w:color w:val="000000"/>
              </w:rPr>
              <w:t>Pouvoir adjudicateur</w:t>
            </w:r>
          </w:p>
        </w:tc>
        <w:tc>
          <w:tcPr>
            <w:tcW w:w="56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30" w:type="dxa"/>
              <w:bottom w:w="80" w:type="dxa"/>
              <w:right w:w="130" w:type="dxa"/>
            </w:tcMar>
          </w:tcPr>
          <w:p w14:paraId="420F18D5" w14:textId="77777777" w:rsidR="009D5700" w:rsidRDefault="00000000">
            <w:r>
              <w:rPr>
                <w:color w:val="000000"/>
              </w:rPr>
              <w:t>Communauté de Communes du Centre-Ouest (3CO)</w:t>
            </w:r>
          </w:p>
        </w:tc>
      </w:tr>
      <w:tr w:rsidR="009D5700" w14:paraId="420F18D9" w14:textId="77777777">
        <w:tc>
          <w:tcPr>
            <w:tcW w:w="34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30" w:type="dxa"/>
              <w:bottom w:w="80" w:type="dxa"/>
              <w:right w:w="130" w:type="dxa"/>
            </w:tcMar>
          </w:tcPr>
          <w:p w14:paraId="420F18D7" w14:textId="77777777" w:rsidR="009D5700" w:rsidRDefault="00000000">
            <w:r>
              <w:rPr>
                <w:b/>
                <w:bCs/>
                <w:color w:val="000000"/>
              </w:rPr>
              <w:t>N° SIRET</w:t>
            </w:r>
          </w:p>
        </w:tc>
        <w:tc>
          <w:tcPr>
            <w:tcW w:w="5626" w:type="dxa"/>
            <w:tcBorders>
              <w:top w:val="single" w:sz="4" w:space="0" w:color="CCCCCC"/>
              <w:left w:val="single" w:sz="4" w:space="0" w:color="CCCCCC"/>
              <w:bottom w:val="single" w:sz="4" w:space="0" w:color="CCCCCC"/>
              <w:right w:val="single" w:sz="4" w:space="0" w:color="CCCCCC"/>
            </w:tcBorders>
            <w:shd w:val="clear" w:color="auto" w:fill="F2F2F2"/>
            <w:tcMar>
              <w:top w:w="80" w:type="dxa"/>
              <w:left w:w="130" w:type="dxa"/>
              <w:bottom w:w="80" w:type="dxa"/>
              <w:right w:w="130" w:type="dxa"/>
            </w:tcMar>
          </w:tcPr>
          <w:p w14:paraId="420F18D8" w14:textId="77777777" w:rsidR="009D5700" w:rsidRDefault="00000000">
            <w:r>
              <w:rPr>
                <w:color w:val="000000"/>
              </w:rPr>
              <w:t>200 059 871 00018</w:t>
            </w:r>
          </w:p>
        </w:tc>
      </w:tr>
      <w:tr w:rsidR="009D5700" w14:paraId="420F18DC" w14:textId="77777777">
        <w:tc>
          <w:tcPr>
            <w:tcW w:w="34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30" w:type="dxa"/>
            </w:tcMar>
          </w:tcPr>
          <w:p w14:paraId="420F18DA" w14:textId="77777777" w:rsidR="009D5700" w:rsidRDefault="00000000">
            <w:r>
              <w:rPr>
                <w:b/>
                <w:bCs/>
                <w:color w:val="000000"/>
              </w:rPr>
              <w:t>Adresse</w:t>
            </w:r>
          </w:p>
        </w:tc>
        <w:tc>
          <w:tcPr>
            <w:tcW w:w="56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30" w:type="dxa"/>
              <w:bottom w:w="80" w:type="dxa"/>
              <w:right w:w="130" w:type="dxa"/>
            </w:tcMar>
          </w:tcPr>
          <w:p w14:paraId="420F18DB" w14:textId="77777777" w:rsidR="009D5700" w:rsidRDefault="00000000">
            <w:r>
              <w:rPr>
                <w:color w:val="000000"/>
              </w:rPr>
              <w:t>224 boulevard Amir Ridjali – 97650 M'Tsangamouji – Mayotte</w:t>
            </w:r>
          </w:p>
        </w:tc>
      </w:tr>
      <w:tr w:rsidR="009D5700" w14:paraId="420F18DF" w14:textId="77777777">
        <w:tc>
          <w:tcPr>
            <w:tcW w:w="34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30" w:type="dxa"/>
              <w:bottom w:w="80" w:type="dxa"/>
              <w:right w:w="130" w:type="dxa"/>
            </w:tcMar>
          </w:tcPr>
          <w:p w14:paraId="420F18DD" w14:textId="77777777" w:rsidR="009D5700" w:rsidRDefault="00000000">
            <w:r>
              <w:rPr>
                <w:b/>
                <w:bCs/>
                <w:color w:val="000000"/>
              </w:rPr>
              <w:t>Références marchés</w:t>
            </w:r>
          </w:p>
        </w:tc>
        <w:tc>
          <w:tcPr>
            <w:tcW w:w="5626" w:type="dxa"/>
            <w:tcBorders>
              <w:top w:val="single" w:sz="4" w:space="0" w:color="CCCCCC"/>
              <w:left w:val="single" w:sz="4" w:space="0" w:color="CCCCCC"/>
              <w:bottom w:val="single" w:sz="4" w:space="0" w:color="CCCCCC"/>
              <w:right w:val="single" w:sz="4" w:space="0" w:color="CCCCCC"/>
            </w:tcBorders>
            <w:shd w:val="clear" w:color="auto" w:fill="F2F2F2"/>
            <w:tcMar>
              <w:top w:w="80" w:type="dxa"/>
              <w:left w:w="130" w:type="dxa"/>
              <w:bottom w:w="80" w:type="dxa"/>
              <w:right w:w="130" w:type="dxa"/>
            </w:tcMar>
          </w:tcPr>
          <w:p w14:paraId="420F18DE" w14:textId="77777777" w:rsidR="009D5700" w:rsidRDefault="00000000">
            <w:r>
              <w:rPr>
                <w:color w:val="000000"/>
              </w:rPr>
              <w:t>2026/3CO/014 (Lot 1) | 2026/3CO/015 (Lot 2)</w:t>
            </w:r>
          </w:p>
        </w:tc>
      </w:tr>
      <w:tr w:rsidR="009D5700" w14:paraId="420F18E2" w14:textId="77777777">
        <w:tc>
          <w:tcPr>
            <w:tcW w:w="34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30" w:type="dxa"/>
            </w:tcMar>
          </w:tcPr>
          <w:p w14:paraId="420F18E0" w14:textId="77777777" w:rsidR="009D5700" w:rsidRDefault="00000000">
            <w:r>
              <w:rPr>
                <w:b/>
                <w:bCs/>
                <w:color w:val="000000"/>
              </w:rPr>
              <w:t>Date de publication</w:t>
            </w:r>
          </w:p>
        </w:tc>
        <w:tc>
          <w:tcPr>
            <w:tcW w:w="56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30" w:type="dxa"/>
              <w:bottom w:w="80" w:type="dxa"/>
              <w:right w:w="130" w:type="dxa"/>
            </w:tcMar>
          </w:tcPr>
          <w:p w14:paraId="420F18E1" w14:textId="77777777" w:rsidR="009D5700" w:rsidRDefault="00000000">
            <w:r>
              <w:rPr>
                <w:color w:val="000000"/>
              </w:rPr>
              <w:t>10 mars 2026</w:t>
            </w:r>
          </w:p>
        </w:tc>
      </w:tr>
      <w:tr w:rsidR="009D5700" w14:paraId="420F18E5" w14:textId="77777777">
        <w:tc>
          <w:tcPr>
            <w:tcW w:w="3400" w:type="dxa"/>
            <w:tcBorders>
              <w:top w:val="single" w:sz="4" w:space="0" w:color="CCCCCC"/>
              <w:left w:val="single" w:sz="4" w:space="0" w:color="CCCCCC"/>
              <w:bottom w:val="single" w:sz="4" w:space="0" w:color="CCCCCC"/>
              <w:right w:val="single" w:sz="4" w:space="0" w:color="CCCCCC"/>
            </w:tcBorders>
            <w:shd w:val="clear" w:color="auto" w:fill="C00000"/>
            <w:tcMar>
              <w:top w:w="80" w:type="dxa"/>
              <w:left w:w="130" w:type="dxa"/>
              <w:bottom w:w="80" w:type="dxa"/>
              <w:right w:w="130" w:type="dxa"/>
            </w:tcMar>
          </w:tcPr>
          <w:p w14:paraId="420F18E3" w14:textId="77777777" w:rsidR="009D5700" w:rsidRDefault="00000000">
            <w:r>
              <w:rPr>
                <w:b/>
                <w:bCs/>
                <w:color w:val="FFFFFF"/>
              </w:rPr>
              <w:t>Date limite des offres</w:t>
            </w:r>
          </w:p>
        </w:tc>
        <w:tc>
          <w:tcPr>
            <w:tcW w:w="5626" w:type="dxa"/>
            <w:tcBorders>
              <w:top w:val="single" w:sz="4" w:space="0" w:color="CCCCCC"/>
              <w:left w:val="single" w:sz="4" w:space="0" w:color="CCCCCC"/>
              <w:bottom w:val="single" w:sz="4" w:space="0" w:color="CCCCCC"/>
              <w:right w:val="single" w:sz="4" w:space="0" w:color="CCCCCC"/>
            </w:tcBorders>
            <w:shd w:val="clear" w:color="auto" w:fill="FFF0F0"/>
            <w:tcMar>
              <w:top w:w="80" w:type="dxa"/>
              <w:left w:w="130" w:type="dxa"/>
              <w:bottom w:w="80" w:type="dxa"/>
              <w:right w:w="130" w:type="dxa"/>
            </w:tcMar>
          </w:tcPr>
          <w:p w14:paraId="420F18E4" w14:textId="77777777" w:rsidR="009D5700" w:rsidRDefault="00000000">
            <w:r>
              <w:rPr>
                <w:b/>
                <w:bCs/>
                <w:color w:val="C00000"/>
              </w:rPr>
              <w:t>28 mars 2026 à 12h00 – heure locale Mayotte (UTC+3)</w:t>
            </w:r>
          </w:p>
        </w:tc>
      </w:tr>
      <w:tr w:rsidR="009D5700" w14:paraId="420F18E8" w14:textId="77777777">
        <w:tc>
          <w:tcPr>
            <w:tcW w:w="34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30" w:type="dxa"/>
              <w:bottom w:w="80" w:type="dxa"/>
              <w:right w:w="130" w:type="dxa"/>
            </w:tcMar>
          </w:tcPr>
          <w:p w14:paraId="420F18E6" w14:textId="77777777" w:rsidR="009D5700" w:rsidRDefault="00000000">
            <w:r>
              <w:rPr>
                <w:b/>
                <w:bCs/>
                <w:color w:val="000000"/>
              </w:rPr>
              <w:t>Profil acheteur</w:t>
            </w:r>
          </w:p>
        </w:tc>
        <w:tc>
          <w:tcPr>
            <w:tcW w:w="5626" w:type="dxa"/>
            <w:tcBorders>
              <w:top w:val="single" w:sz="4" w:space="0" w:color="CCCCCC"/>
              <w:left w:val="single" w:sz="4" w:space="0" w:color="CCCCCC"/>
              <w:bottom w:val="single" w:sz="4" w:space="0" w:color="CCCCCC"/>
              <w:right w:val="single" w:sz="4" w:space="0" w:color="CCCCCC"/>
            </w:tcBorders>
            <w:shd w:val="clear" w:color="auto" w:fill="F2F2F2"/>
            <w:tcMar>
              <w:top w:w="80" w:type="dxa"/>
              <w:left w:w="130" w:type="dxa"/>
              <w:bottom w:w="80" w:type="dxa"/>
              <w:right w:w="130" w:type="dxa"/>
            </w:tcMar>
          </w:tcPr>
          <w:p w14:paraId="420F18E7" w14:textId="77777777" w:rsidR="009D5700" w:rsidRDefault="00000000">
            <w:r>
              <w:rPr>
                <w:color w:val="000000"/>
              </w:rPr>
              <w:t>https://www.marches-securises.fr</w:t>
            </w:r>
          </w:p>
        </w:tc>
      </w:tr>
    </w:tbl>
    <w:p w14:paraId="420F18E9" w14:textId="77777777" w:rsidR="009D5700" w:rsidRDefault="00000000">
      <w:r>
        <w:br w:type="page"/>
      </w:r>
    </w:p>
    <w:p w14:paraId="420F18EA" w14:textId="77777777" w:rsidR="009D5700" w:rsidRDefault="00000000">
      <w:pPr>
        <w:pStyle w:val="Titre1"/>
        <w:shd w:val="clear" w:color="auto" w:fill="1F4E79"/>
        <w:ind w:left="200" w:right="200"/>
      </w:pPr>
      <w:r>
        <w:lastRenderedPageBreak/>
        <w:t>ARTICLE 1 – IDENTIFICATION DE L'ACHETEUR</w:t>
      </w:r>
    </w:p>
    <w:p w14:paraId="420F18EB" w14:textId="77777777" w:rsidR="009D5700" w:rsidRDefault="00000000">
      <w:pPr>
        <w:spacing w:before="60" w:after="60"/>
        <w:ind w:left="640" w:hanging="320"/>
      </w:pPr>
      <w:r>
        <w:t>•  Dénomination : Communauté de Communes du Centre-Ouest (3CO) – SIRET 200 059 871 00018</w:t>
      </w:r>
    </w:p>
    <w:p w14:paraId="420F18EC" w14:textId="77777777" w:rsidR="009D5700" w:rsidRDefault="00000000">
      <w:pPr>
        <w:spacing w:before="60" w:after="60"/>
        <w:ind w:left="640" w:hanging="320"/>
      </w:pPr>
      <w:r>
        <w:t>•  Adresse : 224, boulevard Amir Ridjali – 97650 M'Tsangamouji – Mayotte</w:t>
      </w:r>
    </w:p>
    <w:p w14:paraId="420F18ED" w14:textId="77777777" w:rsidR="009D5700" w:rsidRDefault="00000000">
      <w:pPr>
        <w:spacing w:before="60" w:after="60"/>
        <w:ind w:left="640" w:hanging="320"/>
      </w:pPr>
      <w:r>
        <w:t>•  Représentant légal : M. IBRAHIMA Said Maanrifa, Président</w:t>
      </w:r>
    </w:p>
    <w:p w14:paraId="420F18EE" w14:textId="77777777" w:rsidR="009D5700" w:rsidRDefault="00000000">
      <w:pPr>
        <w:spacing w:before="60" w:after="60"/>
        <w:ind w:left="640" w:hanging="320"/>
      </w:pPr>
      <w:r>
        <w:t>•  Contact : Direction Générale Adjointe des Services Techniques (DGAST) – dgast@3co-mayotte.fr</w:t>
      </w:r>
    </w:p>
    <w:p w14:paraId="420F18EF" w14:textId="77777777" w:rsidR="009D5700" w:rsidRDefault="009D5700">
      <w:pPr>
        <w:spacing w:after="60"/>
      </w:pPr>
    </w:p>
    <w:p w14:paraId="420F18F0" w14:textId="77777777" w:rsidR="009D5700" w:rsidRDefault="00000000">
      <w:pPr>
        <w:pStyle w:val="Titre1"/>
        <w:shd w:val="clear" w:color="auto" w:fill="1F4E79"/>
        <w:ind w:left="200" w:right="200"/>
      </w:pPr>
      <w:r>
        <w:t>ARTICLE 2 – TYPE DE PROCÉDURE</w:t>
      </w:r>
    </w:p>
    <w:p w14:paraId="420F18F1" w14:textId="77777777" w:rsidR="009D5700" w:rsidRDefault="00000000">
      <w:pPr>
        <w:spacing w:before="80" w:after="100"/>
      </w:pPr>
      <w:r>
        <w:rPr>
          <w:color w:val="000000"/>
        </w:rPr>
        <w:t>Marché à Procédure Adaptée (MAPA) – articles L.2123-1 et R.2123-1 du Code de la commande publique.</w:t>
      </w:r>
    </w:p>
    <w:p w14:paraId="420F18F2" w14:textId="77777777" w:rsidR="009D5700" w:rsidRDefault="00000000">
      <w:pPr>
        <w:spacing w:before="80" w:after="100"/>
      </w:pPr>
      <w:r>
        <w:rPr>
          <w:color w:val="000000"/>
        </w:rPr>
        <w:t>La consultation est allotie en deux (2) lots conformément à l'article L.2113-10 du CCP.</w:t>
      </w:r>
    </w:p>
    <w:p w14:paraId="420F18F3" w14:textId="77777777" w:rsidR="009D5700" w:rsidRDefault="009D5700">
      <w:pPr>
        <w:spacing w:after="60"/>
      </w:pPr>
    </w:p>
    <w:p w14:paraId="420F18F4" w14:textId="77777777" w:rsidR="009D5700" w:rsidRDefault="00000000">
      <w:pPr>
        <w:pStyle w:val="Titre1"/>
        <w:shd w:val="clear" w:color="auto" w:fill="1F4E79"/>
        <w:ind w:left="200" w:right="200"/>
      </w:pPr>
      <w:r>
        <w:t>ARTICLE 3 – OBJET DU MARCHÉ</w:t>
      </w:r>
    </w:p>
    <w:p w14:paraId="420F18F5" w14:textId="77777777" w:rsidR="009D5700" w:rsidRDefault="00000000">
      <w:pPr>
        <w:spacing w:before="80" w:after="100"/>
      </w:pPr>
      <w:r>
        <w:rPr>
          <w:color w:val="000000"/>
        </w:rPr>
        <w:t>Objet général : Équipement informatique et numérique de la 3CO dans le cadre de son emménagement au nouveau siège (776, route du golf de Combani, 97660 Combani) et de l'installation du nouveau conseil communautaire issu des élections des 15 et 22 mars 2026.</w:t>
      </w:r>
    </w:p>
    <w:p w14:paraId="420F18F6" w14:textId="77777777" w:rsidR="009D5700" w:rsidRDefault="009D5700">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2000"/>
        <w:gridCol w:w="4026"/>
        <w:gridCol w:w="2200"/>
      </w:tblGrid>
      <w:tr w:rsidR="009D5700" w14:paraId="420F18FB" w14:textId="77777777">
        <w:tc>
          <w:tcPr>
            <w:tcW w:w="800" w:type="dxa"/>
            <w:tcBorders>
              <w:top w:val="single" w:sz="4" w:space="0" w:color="CCCCCC"/>
              <w:left w:val="single" w:sz="4" w:space="0" w:color="CCCCCC"/>
              <w:bottom w:val="single" w:sz="4" w:space="0" w:color="CCCCCC"/>
              <w:right w:val="single" w:sz="4" w:space="0" w:color="CCCCCC"/>
            </w:tcBorders>
            <w:shd w:val="clear" w:color="auto" w:fill="1F4E79"/>
            <w:tcMar>
              <w:top w:w="80" w:type="dxa"/>
              <w:left w:w="130" w:type="dxa"/>
              <w:bottom w:w="80" w:type="dxa"/>
              <w:right w:w="130" w:type="dxa"/>
            </w:tcMar>
          </w:tcPr>
          <w:p w14:paraId="420F18F7" w14:textId="77777777" w:rsidR="009D5700" w:rsidRDefault="00000000">
            <w:pPr>
              <w:jc w:val="center"/>
            </w:pPr>
            <w:r>
              <w:rPr>
                <w:b/>
                <w:bCs/>
                <w:color w:val="FFFFFF"/>
              </w:rPr>
              <w:t>Lot</w:t>
            </w:r>
          </w:p>
        </w:tc>
        <w:tc>
          <w:tcPr>
            <w:tcW w:w="2000" w:type="dxa"/>
            <w:tcBorders>
              <w:top w:val="single" w:sz="4" w:space="0" w:color="CCCCCC"/>
              <w:left w:val="single" w:sz="4" w:space="0" w:color="CCCCCC"/>
              <w:bottom w:val="single" w:sz="4" w:space="0" w:color="CCCCCC"/>
              <w:right w:val="single" w:sz="4" w:space="0" w:color="CCCCCC"/>
            </w:tcBorders>
            <w:shd w:val="clear" w:color="auto" w:fill="1F4E79"/>
            <w:tcMar>
              <w:top w:w="80" w:type="dxa"/>
              <w:left w:w="130" w:type="dxa"/>
              <w:bottom w:w="80" w:type="dxa"/>
              <w:right w:w="130" w:type="dxa"/>
            </w:tcMar>
          </w:tcPr>
          <w:p w14:paraId="420F18F8" w14:textId="77777777" w:rsidR="009D5700" w:rsidRDefault="00000000">
            <w:pPr>
              <w:jc w:val="center"/>
            </w:pPr>
            <w:r>
              <w:rPr>
                <w:b/>
                <w:bCs/>
                <w:color w:val="FFFFFF"/>
              </w:rPr>
              <w:t>Référence</w:t>
            </w:r>
          </w:p>
        </w:tc>
        <w:tc>
          <w:tcPr>
            <w:tcW w:w="4026" w:type="dxa"/>
            <w:tcBorders>
              <w:top w:val="single" w:sz="4" w:space="0" w:color="CCCCCC"/>
              <w:left w:val="single" w:sz="4" w:space="0" w:color="CCCCCC"/>
              <w:bottom w:val="single" w:sz="4" w:space="0" w:color="CCCCCC"/>
              <w:right w:val="single" w:sz="4" w:space="0" w:color="CCCCCC"/>
            </w:tcBorders>
            <w:shd w:val="clear" w:color="auto" w:fill="1F4E79"/>
            <w:tcMar>
              <w:top w:w="80" w:type="dxa"/>
              <w:left w:w="130" w:type="dxa"/>
              <w:bottom w:w="80" w:type="dxa"/>
              <w:right w:w="130" w:type="dxa"/>
            </w:tcMar>
          </w:tcPr>
          <w:p w14:paraId="420F18F9" w14:textId="77777777" w:rsidR="009D5700" w:rsidRDefault="00000000">
            <w:pPr>
              <w:jc w:val="center"/>
            </w:pPr>
            <w:r>
              <w:rPr>
                <w:b/>
                <w:bCs/>
                <w:color w:val="FFFFFF"/>
              </w:rPr>
              <w:t>Intitulé</w:t>
            </w:r>
          </w:p>
        </w:tc>
        <w:tc>
          <w:tcPr>
            <w:tcW w:w="2200" w:type="dxa"/>
            <w:tcBorders>
              <w:top w:val="single" w:sz="4" w:space="0" w:color="CCCCCC"/>
              <w:left w:val="single" w:sz="4" w:space="0" w:color="CCCCCC"/>
              <w:bottom w:val="single" w:sz="4" w:space="0" w:color="CCCCCC"/>
              <w:right w:val="single" w:sz="4" w:space="0" w:color="CCCCCC"/>
            </w:tcBorders>
            <w:shd w:val="clear" w:color="auto" w:fill="1F4E79"/>
            <w:tcMar>
              <w:top w:w="80" w:type="dxa"/>
              <w:left w:w="130" w:type="dxa"/>
              <w:bottom w:w="80" w:type="dxa"/>
              <w:right w:w="130" w:type="dxa"/>
            </w:tcMar>
          </w:tcPr>
          <w:p w14:paraId="420F18FA" w14:textId="77777777" w:rsidR="009D5700" w:rsidRDefault="00000000">
            <w:pPr>
              <w:jc w:val="center"/>
            </w:pPr>
            <w:r>
              <w:rPr>
                <w:b/>
                <w:bCs/>
                <w:color w:val="FFFFFF"/>
              </w:rPr>
              <w:t>Montant estimatif HT</w:t>
            </w:r>
          </w:p>
        </w:tc>
      </w:tr>
      <w:tr w:rsidR="009D5700" w14:paraId="420F1900" w14:textId="77777777">
        <w:tc>
          <w:tcPr>
            <w:tcW w:w="8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30" w:type="dxa"/>
              <w:bottom w:w="80" w:type="dxa"/>
              <w:right w:w="130" w:type="dxa"/>
            </w:tcMar>
          </w:tcPr>
          <w:p w14:paraId="420F18FC" w14:textId="77777777" w:rsidR="009D5700" w:rsidRDefault="00000000">
            <w:pPr>
              <w:jc w:val="center"/>
            </w:pPr>
            <w:r>
              <w:rPr>
                <w:color w:val="000000"/>
              </w:rPr>
              <w:t>Lot 1</w:t>
            </w:r>
          </w:p>
        </w:tc>
        <w:tc>
          <w:tcPr>
            <w:tcW w:w="20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30" w:type="dxa"/>
              <w:bottom w:w="80" w:type="dxa"/>
              <w:right w:w="130" w:type="dxa"/>
            </w:tcMar>
          </w:tcPr>
          <w:p w14:paraId="420F18FD" w14:textId="77777777" w:rsidR="009D5700" w:rsidRDefault="00000000">
            <w:r>
              <w:rPr>
                <w:color w:val="000000"/>
              </w:rPr>
              <w:t>2026/3CO/014</w:t>
            </w:r>
          </w:p>
        </w:tc>
        <w:tc>
          <w:tcPr>
            <w:tcW w:w="4026" w:type="dxa"/>
            <w:tcBorders>
              <w:top w:val="single" w:sz="4" w:space="0" w:color="CCCCCC"/>
              <w:left w:val="single" w:sz="4" w:space="0" w:color="CCCCCC"/>
              <w:bottom w:val="single" w:sz="4" w:space="0" w:color="CCCCCC"/>
              <w:right w:val="single" w:sz="4" w:space="0" w:color="CCCCCC"/>
            </w:tcBorders>
            <w:shd w:val="clear" w:color="auto" w:fill="F2F2F2"/>
            <w:tcMar>
              <w:top w:w="80" w:type="dxa"/>
              <w:left w:w="130" w:type="dxa"/>
              <w:bottom w:w="80" w:type="dxa"/>
              <w:right w:w="130" w:type="dxa"/>
            </w:tcMar>
          </w:tcPr>
          <w:p w14:paraId="420F18FE" w14:textId="6D91AE26" w:rsidR="009D5700" w:rsidRDefault="00000000">
            <w:r>
              <w:rPr>
                <w:color w:val="000000"/>
              </w:rPr>
              <w:t xml:space="preserve">Fournitures informatiques complémentaires, intégration, MCO et reprise contrat sauvegarde </w:t>
            </w:r>
            <w:r w:rsidR="00FB4E45">
              <w:rPr>
                <w:color w:val="000000"/>
              </w:rPr>
              <w:t>en cours</w:t>
            </w:r>
          </w:p>
        </w:tc>
        <w:tc>
          <w:tcPr>
            <w:tcW w:w="22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30" w:type="dxa"/>
              <w:bottom w:w="80" w:type="dxa"/>
              <w:right w:w="130" w:type="dxa"/>
            </w:tcMar>
          </w:tcPr>
          <w:p w14:paraId="420F18FF" w14:textId="77777777" w:rsidR="009D5700" w:rsidRDefault="00000000">
            <w:pPr>
              <w:jc w:val="center"/>
            </w:pPr>
            <w:r>
              <w:rPr>
                <w:b/>
                <w:bCs/>
                <w:color w:val="000000"/>
              </w:rPr>
              <w:t>~64 000 €</w:t>
            </w:r>
          </w:p>
        </w:tc>
      </w:tr>
      <w:tr w:rsidR="009D5700" w14:paraId="420F1905" w14:textId="77777777">
        <w:tc>
          <w:tcPr>
            <w:tcW w:w="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30" w:type="dxa"/>
            </w:tcMar>
          </w:tcPr>
          <w:p w14:paraId="420F1901" w14:textId="77777777" w:rsidR="009D5700" w:rsidRDefault="00000000">
            <w:pPr>
              <w:jc w:val="center"/>
            </w:pPr>
            <w:r>
              <w:rPr>
                <w:color w:val="000000"/>
              </w:rPr>
              <w:t>Lot 2</w:t>
            </w:r>
          </w:p>
        </w:tc>
        <w:tc>
          <w:tcPr>
            <w:tcW w:w="20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30" w:type="dxa"/>
            </w:tcMar>
          </w:tcPr>
          <w:p w14:paraId="420F1902" w14:textId="77777777" w:rsidR="009D5700" w:rsidRDefault="00000000">
            <w:r>
              <w:rPr>
                <w:color w:val="000000"/>
              </w:rPr>
              <w:t>2026/3CO/015</w:t>
            </w:r>
          </w:p>
        </w:tc>
        <w:tc>
          <w:tcPr>
            <w:tcW w:w="4026"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30" w:type="dxa"/>
            </w:tcMar>
          </w:tcPr>
          <w:p w14:paraId="420F1903" w14:textId="77777777" w:rsidR="009D5700" w:rsidRDefault="00000000">
            <w:r>
              <w:rPr>
                <w:color w:val="000000"/>
              </w:rPr>
              <w:t>PC portables 14" pour les 40 conseillers communautaires (mandat 2026-2032)</w:t>
            </w:r>
          </w:p>
        </w:tc>
        <w:tc>
          <w:tcPr>
            <w:tcW w:w="22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30" w:type="dxa"/>
            </w:tcMar>
          </w:tcPr>
          <w:p w14:paraId="420F1904" w14:textId="77777777" w:rsidR="009D5700" w:rsidRDefault="00000000">
            <w:pPr>
              <w:jc w:val="center"/>
            </w:pPr>
            <w:r>
              <w:rPr>
                <w:b/>
                <w:bCs/>
                <w:color w:val="000000"/>
              </w:rPr>
              <w:t>~40 000 €</w:t>
            </w:r>
          </w:p>
        </w:tc>
      </w:tr>
      <w:tr w:rsidR="009D5700" w14:paraId="420F1909" w14:textId="77777777">
        <w:tc>
          <w:tcPr>
            <w:tcW w:w="8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30" w:type="dxa"/>
              <w:bottom w:w="80" w:type="dxa"/>
              <w:right w:w="130" w:type="dxa"/>
            </w:tcMar>
          </w:tcPr>
          <w:p w14:paraId="420F1906" w14:textId="77777777" w:rsidR="009D5700" w:rsidRDefault="009D5700">
            <w:pPr>
              <w:jc w:val="center"/>
            </w:pPr>
          </w:p>
        </w:tc>
        <w:tc>
          <w:tcPr>
            <w:tcW w:w="6026" w:type="dxa"/>
            <w:gridSpan w:val="2"/>
            <w:tcBorders>
              <w:top w:val="single" w:sz="4" w:space="0" w:color="CCCCCC"/>
              <w:left w:val="single" w:sz="4" w:space="0" w:color="CCCCCC"/>
              <w:bottom w:val="single" w:sz="4" w:space="0" w:color="CCCCCC"/>
              <w:right w:val="single" w:sz="4" w:space="0" w:color="CCCCCC"/>
            </w:tcBorders>
            <w:shd w:val="clear" w:color="auto" w:fill="F2F2F2"/>
            <w:tcMar>
              <w:top w:w="80" w:type="dxa"/>
              <w:left w:w="130" w:type="dxa"/>
              <w:bottom w:w="80" w:type="dxa"/>
              <w:right w:w="130" w:type="dxa"/>
            </w:tcMar>
          </w:tcPr>
          <w:p w14:paraId="420F1907" w14:textId="77777777" w:rsidR="009D5700" w:rsidRDefault="00000000">
            <w:pPr>
              <w:jc w:val="right"/>
            </w:pPr>
            <w:r>
              <w:rPr>
                <w:b/>
                <w:bCs/>
              </w:rPr>
              <w:t>TOTAL ESTIMATIF GLOBAL HT :</w:t>
            </w:r>
          </w:p>
        </w:tc>
        <w:tc>
          <w:tcPr>
            <w:tcW w:w="22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30" w:type="dxa"/>
              <w:bottom w:w="80" w:type="dxa"/>
              <w:right w:w="130" w:type="dxa"/>
            </w:tcMar>
          </w:tcPr>
          <w:p w14:paraId="420F1908" w14:textId="77777777" w:rsidR="009D5700" w:rsidRDefault="00000000">
            <w:pPr>
              <w:jc w:val="center"/>
            </w:pPr>
            <w:r>
              <w:rPr>
                <w:b/>
                <w:bCs/>
                <w:color w:val="000000"/>
              </w:rPr>
              <w:t>~104 000 €</w:t>
            </w:r>
          </w:p>
        </w:tc>
      </w:tr>
    </w:tbl>
    <w:p w14:paraId="420F190A" w14:textId="77777777" w:rsidR="009D5700" w:rsidRDefault="009D5700">
      <w:pPr>
        <w:spacing w:after="80"/>
      </w:pPr>
    </w:p>
    <w:p w14:paraId="420F190B" w14:textId="77777777" w:rsidR="009D5700" w:rsidRDefault="00000000">
      <w:pPr>
        <w:spacing w:before="80" w:after="100"/>
      </w:pPr>
      <w:r>
        <w:rPr>
          <w:b/>
          <w:bCs/>
          <w:color w:val="C55A11"/>
        </w:rPr>
        <w:t xml:space="preserve">Important – Lot 1 (interlocuteur unique) : </w:t>
      </w:r>
      <w:r>
        <w:rPr>
          <w:color w:val="C55A11"/>
        </w:rPr>
        <w:t>La baie informatique (rack) est fournie par le « Lot Électricité Courants Faibles » du chantier du siège. Le titulaire du Lot 1 installe ses équipements dans la baie existante et reprend, au prochain terme échu après notification, le contrat de sauvegarde externalisée en cours avec ETIC Services (BC n°158 / SAO-DVETS25090024).</w:t>
      </w:r>
    </w:p>
    <w:p w14:paraId="420F190C" w14:textId="77777777" w:rsidR="009D5700" w:rsidRDefault="009D5700">
      <w:pPr>
        <w:spacing w:after="80"/>
      </w:pPr>
    </w:p>
    <w:p w14:paraId="420F190D" w14:textId="77777777" w:rsidR="009D5700" w:rsidRDefault="00000000">
      <w:pPr>
        <w:spacing w:before="80" w:after="100"/>
      </w:pPr>
      <w:r>
        <w:rPr>
          <w:color w:val="000000"/>
        </w:rPr>
        <w:t>Les candidats peuvent soumissionner pour un ou plusieurs lots. Des offres distinctes doivent être remises par lot.</w:t>
      </w:r>
    </w:p>
    <w:p w14:paraId="420F190E" w14:textId="77777777" w:rsidR="009D5700" w:rsidRDefault="009D5700">
      <w:pPr>
        <w:spacing w:after="60"/>
      </w:pPr>
    </w:p>
    <w:p w14:paraId="420F190F" w14:textId="77777777" w:rsidR="009D5700" w:rsidRDefault="00000000">
      <w:pPr>
        <w:pStyle w:val="Titre1"/>
        <w:shd w:val="clear" w:color="auto" w:fill="1F4E79"/>
        <w:ind w:left="200" w:right="200"/>
      </w:pPr>
      <w:r>
        <w:t>ARTICLE 4 – LIEU D'EXÉCUTION</w:t>
      </w:r>
    </w:p>
    <w:p w14:paraId="420F1910" w14:textId="77777777" w:rsidR="009D5700" w:rsidRDefault="00000000">
      <w:pPr>
        <w:spacing w:before="60" w:after="60"/>
        <w:ind w:left="640" w:hanging="320"/>
      </w:pPr>
      <w:r>
        <w:t>•  Siège de la 3CO : 776, route du golf de Combani – 97660 Combani – Mayotte (principal)</w:t>
      </w:r>
    </w:p>
    <w:p w14:paraId="420F1911" w14:textId="175C476C" w:rsidR="009D5700" w:rsidRDefault="00000000">
      <w:pPr>
        <w:spacing w:before="60" w:after="60"/>
        <w:ind w:left="640" w:hanging="320"/>
      </w:pPr>
      <w:r>
        <w:t>•  Sites distants (Lot 1) : M'Tsangamouji</w:t>
      </w:r>
      <w:r w:rsidR="00010211">
        <w:t xml:space="preserve"> et</w:t>
      </w:r>
      <w:r>
        <w:t xml:space="preserve"> </w:t>
      </w:r>
      <w:r w:rsidR="00666AC4">
        <w:t>Kahani.</w:t>
      </w:r>
    </w:p>
    <w:p w14:paraId="420F1912" w14:textId="77777777" w:rsidR="009D5700" w:rsidRDefault="009D5700">
      <w:pPr>
        <w:spacing w:after="60"/>
      </w:pPr>
    </w:p>
    <w:p w14:paraId="420F1913" w14:textId="77777777" w:rsidR="009D5700" w:rsidRDefault="00000000">
      <w:pPr>
        <w:pStyle w:val="Titre1"/>
        <w:shd w:val="clear" w:color="auto" w:fill="1F4E79"/>
        <w:ind w:left="200" w:right="200"/>
      </w:pPr>
      <w:r>
        <w:t>ARTICLE 5 – DURÉE</w:t>
      </w:r>
    </w:p>
    <w:p w14:paraId="420F1914" w14:textId="77777777" w:rsidR="009D5700" w:rsidRDefault="00000000">
      <w:pPr>
        <w:spacing w:before="60" w:after="60"/>
        <w:ind w:left="640" w:hanging="320"/>
      </w:pPr>
      <w:r>
        <w:t>•  Lot 1 : Fournitures + intégration : 6 mois. MCO initial : 12 mois, reconductible jusqu'à 48 mois.</w:t>
      </w:r>
    </w:p>
    <w:p w14:paraId="420F1915" w14:textId="77777777" w:rsidR="009D5700" w:rsidRDefault="00000000">
      <w:pPr>
        <w:spacing w:before="60" w:after="60"/>
        <w:ind w:left="640" w:hanging="320"/>
      </w:pPr>
      <w:r>
        <w:lastRenderedPageBreak/>
        <w:t>•  Lot 2 : Livraison unique dans les 30 jours suivant notification. Licences MDM : 1 an renouvelable.</w:t>
      </w:r>
    </w:p>
    <w:p w14:paraId="420F1916" w14:textId="77777777" w:rsidR="009D5700" w:rsidRDefault="009D5700">
      <w:pPr>
        <w:spacing w:after="60"/>
      </w:pPr>
    </w:p>
    <w:p w14:paraId="420F1917" w14:textId="77777777" w:rsidR="009D5700" w:rsidRDefault="00000000">
      <w:pPr>
        <w:pStyle w:val="Titre1"/>
        <w:shd w:val="clear" w:color="auto" w:fill="1F4E79"/>
        <w:ind w:left="200" w:right="200"/>
      </w:pPr>
      <w:r>
        <w:t>ARTICLE 6 – CARACTÉRISTIQUES PRINCIPALES</w:t>
      </w:r>
    </w:p>
    <w:p w14:paraId="420F1918" w14:textId="77777777" w:rsidR="009D5700" w:rsidRDefault="00000000">
      <w:pPr>
        <w:pStyle w:val="Titre2"/>
        <w:pBdr>
          <w:bottom w:val="single" w:sz="4" w:space="1" w:color="2E75B6"/>
        </w:pBdr>
      </w:pPr>
      <w:r>
        <w:t>6.1 – Lot 1 : Infrastructure SI – fournitures complémentaires et intégration</w:t>
      </w:r>
    </w:p>
    <w:p w14:paraId="420F1919" w14:textId="77777777" w:rsidR="009D5700" w:rsidRDefault="00000000">
      <w:pPr>
        <w:spacing w:before="80" w:after="100"/>
      </w:pPr>
      <w:r w:rsidRPr="00B95E07">
        <w:rPr>
          <w:b/>
          <w:bCs/>
          <w:color w:val="000000"/>
        </w:rPr>
        <w:t>Équipements déjà livrés par ETIC Services (exclus du présent lot)</w:t>
      </w:r>
      <w:r>
        <w:rPr>
          <w:color w:val="000000"/>
        </w:rPr>
        <w:t xml:space="preserve"> : serveur HPE ProLiant DL360 Gen10 Plus, NAS QNAP TS464U, switch HPE Aruba 2930F, licences VMware vSphere 8 Standard, Veeam Data Platform Essentials et Windows Server 2025 Standard, ainsi que le forfait d'installation afférent (devis n° SAO-DVETS25090024, 22 228 € HT).</w:t>
      </w:r>
    </w:p>
    <w:p w14:paraId="420F191A" w14:textId="77777777" w:rsidR="009D5700" w:rsidRDefault="00000000">
      <w:pPr>
        <w:spacing w:before="80" w:after="100"/>
      </w:pPr>
      <w:r w:rsidRPr="00B95E07">
        <w:rPr>
          <w:b/>
          <w:bCs/>
          <w:color w:val="000000"/>
        </w:rPr>
        <w:t>Périmètre fournitures complémentaires</w:t>
      </w:r>
      <w:r>
        <w:rPr>
          <w:color w:val="000000"/>
        </w:rPr>
        <w:t xml:space="preserve"> (sans rack fourni par le Lot Électricité du chantier) :</w:t>
      </w:r>
    </w:p>
    <w:p w14:paraId="420F191B" w14:textId="77777777" w:rsidR="009D5700" w:rsidRDefault="00000000">
      <w:pPr>
        <w:spacing w:before="60" w:after="60"/>
        <w:ind w:left="640" w:hanging="320"/>
      </w:pPr>
      <w:r>
        <w:t>•  SAN 10 To (RAID 6/10, iSCSI 10 GbE ou FC 8 Gbps, compatible HPE DL360 existant) + NAS réplication externalisée 10 To (datacenter)</w:t>
      </w:r>
    </w:p>
    <w:p w14:paraId="420F191C" w14:textId="77777777" w:rsidR="009D5700" w:rsidRDefault="00000000">
      <w:pPr>
        <w:spacing w:before="60" w:after="60"/>
        <w:ind w:left="640" w:hanging="320"/>
      </w:pPr>
      <w:r>
        <w:t>•  Onduleur rack 3 000 VA</w:t>
      </w:r>
    </w:p>
    <w:p w14:paraId="420F191D" w14:textId="77777777" w:rsidR="009D5700" w:rsidRDefault="00000000">
      <w:pPr>
        <w:spacing w:before="60" w:after="60"/>
        <w:ind w:left="640" w:hanging="320"/>
      </w:pPr>
      <w:r>
        <w:t>•  Wi-Fi 6 : 8 AP dual-band PoE + 3 commutateurs managés 24P PoE+ 4x SFP+</w:t>
      </w:r>
    </w:p>
    <w:p w14:paraId="420F191E" w14:textId="77777777" w:rsidR="009D5700" w:rsidRDefault="00000000">
      <w:pPr>
        <w:spacing w:before="60" w:after="60"/>
        <w:ind w:left="640" w:hanging="320"/>
      </w:pPr>
      <w:r>
        <w:t>•  Pare-feux NGFW : 1 siège (1 Gbps, IPS, filtrage Web, VPN IPSec/SSL) + 2 branch office</w:t>
      </w:r>
    </w:p>
    <w:p w14:paraId="420F191F" w14:textId="77777777" w:rsidR="009D5700" w:rsidRDefault="00000000">
      <w:pPr>
        <w:spacing w:before="60" w:after="60"/>
        <w:ind w:left="640" w:hanging="320"/>
      </w:pPr>
      <w:r>
        <w:t>•  Licences complémentaires : 35 CAL Windows Server + 10 CAL RDS + EDR 40 endpoints (3 ans)</w:t>
      </w:r>
    </w:p>
    <w:p w14:paraId="420F1920" w14:textId="77777777" w:rsidR="009D5700" w:rsidRDefault="00000000">
      <w:pPr>
        <w:spacing w:before="80" w:after="100"/>
      </w:pPr>
      <w:r w:rsidRPr="00B95E07">
        <w:rPr>
          <w:b/>
          <w:bCs/>
          <w:color w:val="000000"/>
        </w:rPr>
        <w:t>Périmètre intégration et MCO</w:t>
      </w:r>
      <w:r>
        <w:rPr>
          <w:color w:val="000000"/>
        </w:rPr>
        <w:t xml:space="preserve"> :</w:t>
      </w:r>
    </w:p>
    <w:p w14:paraId="420F1921" w14:textId="77777777" w:rsidR="009D5700" w:rsidRDefault="00000000">
      <w:pPr>
        <w:spacing w:before="60" w:after="60"/>
        <w:ind w:left="640" w:hanging="320"/>
      </w:pPr>
      <w:r>
        <w:t>•  Intégration SAN dans l'infrastructure VMware existante (HPE DL360 opérationnel), migration VMs local→SAN, reconfiguration HA</w:t>
      </w:r>
    </w:p>
    <w:p w14:paraId="420F1922" w14:textId="77777777" w:rsidR="009D5700" w:rsidRDefault="00000000">
      <w:pPr>
        <w:spacing w:before="60" w:after="60"/>
        <w:ind w:left="640" w:hanging="320"/>
      </w:pPr>
      <w:r>
        <w:t>•  Reconfiguration Veeam (déjà installé) : intégration SAN+NAS QNAP, réplication vers NAS externalisé, PRA</w:t>
      </w:r>
    </w:p>
    <w:p w14:paraId="420F1923" w14:textId="77777777" w:rsidR="009D5700" w:rsidRDefault="00000000">
      <w:pPr>
        <w:spacing w:before="60" w:after="60"/>
        <w:ind w:left="640" w:hanging="320"/>
      </w:pPr>
      <w:r>
        <w:t>•  AD DS / DNS / DHCP / GPO / DFS / RDS, pare-feux + VPN intersites, Wi-Fi, EDR</w:t>
      </w:r>
    </w:p>
    <w:p w14:paraId="420F1924" w14:textId="77777777" w:rsidR="009D5700" w:rsidRDefault="00000000">
      <w:pPr>
        <w:spacing w:before="60" w:after="60"/>
        <w:ind w:left="640" w:hanging="320"/>
      </w:pPr>
      <w:r>
        <w:t>•  Reprise du contrat ETIC Services (BC n°158) au prochain terme échu – intégration à Veeam sans interruption</w:t>
      </w:r>
    </w:p>
    <w:p w14:paraId="420F1925" w14:textId="77777777" w:rsidR="009D5700" w:rsidRDefault="00000000">
      <w:pPr>
        <w:spacing w:before="60" w:after="60"/>
        <w:ind w:left="640" w:hanging="320"/>
      </w:pPr>
      <w:r>
        <w:t>•  Formation 2 jours + documentation complète (schémas réseau, plan IP, procédures, PRA)</w:t>
      </w:r>
    </w:p>
    <w:p w14:paraId="420F1926" w14:textId="77777777" w:rsidR="009D5700" w:rsidRDefault="00000000">
      <w:pPr>
        <w:spacing w:before="60" w:after="60"/>
        <w:ind w:left="640" w:hanging="320"/>
      </w:pPr>
      <w:r>
        <w:t>•  MCO 12 mois (5j/7j 8h-18h, télémaintenance, supervision 24h/24, rapports mensuels)</w:t>
      </w:r>
    </w:p>
    <w:p w14:paraId="420F1927" w14:textId="77777777" w:rsidR="009D5700" w:rsidRDefault="009D5700">
      <w:pPr>
        <w:spacing w:after="60"/>
      </w:pPr>
    </w:p>
    <w:p w14:paraId="420F1928" w14:textId="77777777" w:rsidR="009D5700" w:rsidRDefault="00000000">
      <w:pPr>
        <w:pStyle w:val="Titre2"/>
        <w:pBdr>
          <w:bottom w:val="single" w:sz="4" w:space="1" w:color="2E75B6"/>
        </w:pBdr>
      </w:pPr>
      <w:r>
        <w:t>6.2 – Lot 2 : PC portables 14" pour les 40 conseillers communautaires</w:t>
      </w:r>
    </w:p>
    <w:p w14:paraId="420F1929" w14:textId="77777777" w:rsidR="009D5700" w:rsidRDefault="00000000">
      <w:pPr>
        <w:spacing w:before="60" w:after="60"/>
        <w:ind w:left="640" w:hanging="320"/>
      </w:pPr>
      <w:r>
        <w:t>•  40 PC portables 14" Windows 11 Pro (i5 gén.12+ / 16 Go / SSD 512 Go / Wi-Fi 6 / webcam 1080p+obturateur / Windows Hello / TPM 2.0 / MIL-STD-810H / autonomie ≥10h / poids ≤1,5 kg)</w:t>
      </w:r>
    </w:p>
    <w:p w14:paraId="420F192A" w14:textId="77777777" w:rsidR="009D5700" w:rsidRDefault="00000000">
      <w:pPr>
        <w:spacing w:before="60" w:after="60"/>
        <w:ind w:left="640" w:hanging="320"/>
      </w:pPr>
      <w:r>
        <w:t>•  Accessoires par PC : chargeur USB-C 65W, sacoche nominative, souris sans fil, adaptateur USB-C/HDMI, film verre trempé monté</w:t>
      </w:r>
    </w:p>
    <w:p w14:paraId="420F192B" w14:textId="77777777" w:rsidR="009D5700" w:rsidRDefault="00000000">
      <w:pPr>
        <w:spacing w:before="60" w:after="60"/>
        <w:ind w:left="640" w:hanging="320"/>
      </w:pPr>
      <w:r>
        <w:t>•  MDM 40 terminaux 1 an + configuration initiale (M365, BitLocker, Windows Hello, enrôlement MDM)</w:t>
      </w:r>
    </w:p>
    <w:p w14:paraId="420F192C" w14:textId="77777777" w:rsidR="009D5700" w:rsidRDefault="00000000">
      <w:pPr>
        <w:spacing w:before="60" w:after="60"/>
        <w:ind w:left="640" w:hanging="320"/>
      </w:pPr>
      <w:r>
        <w:t>•  Formation demi-journée administrateur MDM 3CO – registre de remise individuelle</w:t>
      </w:r>
    </w:p>
    <w:p w14:paraId="420F192D" w14:textId="77777777" w:rsidR="009D5700" w:rsidRDefault="00000000">
      <w:pPr>
        <w:spacing w:before="60" w:after="60"/>
        <w:ind w:left="640" w:hanging="320"/>
      </w:pPr>
      <w:r>
        <w:t>•  Délai impératif : livraison avant le premier conseil communautaire de la mandature 2026-2032</w:t>
      </w:r>
    </w:p>
    <w:p w14:paraId="420F192E" w14:textId="77777777" w:rsidR="009D5700" w:rsidRDefault="009D5700">
      <w:pPr>
        <w:spacing w:after="60"/>
      </w:pPr>
    </w:p>
    <w:p w14:paraId="420F192F" w14:textId="77777777" w:rsidR="009D5700" w:rsidRDefault="00000000">
      <w:pPr>
        <w:pStyle w:val="Titre1"/>
        <w:shd w:val="clear" w:color="auto" w:fill="1F4E79"/>
        <w:ind w:left="200" w:right="200"/>
      </w:pPr>
      <w:r>
        <w:t>ARTICLE 7 – CONDITIONS DE PARTICIPATION</w:t>
      </w:r>
    </w:p>
    <w:p w14:paraId="420F1930" w14:textId="77777777" w:rsidR="009D5700" w:rsidRDefault="00000000">
      <w:pPr>
        <w:pStyle w:val="Titre2"/>
        <w:pBdr>
          <w:bottom w:val="single" w:sz="4" w:space="1" w:color="2E75B6"/>
        </w:pBdr>
      </w:pPr>
      <w:r>
        <w:t>7.1 – Aptitude professionnelle</w:t>
      </w:r>
    </w:p>
    <w:p w14:paraId="420F1931" w14:textId="77777777" w:rsidR="009D5700" w:rsidRDefault="00000000">
      <w:pPr>
        <w:spacing w:before="60" w:after="60"/>
        <w:ind w:left="640" w:hanging="320"/>
      </w:pPr>
      <w:r>
        <w:t>•  Inscription au RCS ou équivalent – Absence d'interdiction de soumissionner (art. L.2141-1 à L.2141-14 CCP)</w:t>
      </w:r>
    </w:p>
    <w:p w14:paraId="420F1932" w14:textId="77777777" w:rsidR="009D5700" w:rsidRDefault="009D5700">
      <w:pPr>
        <w:spacing w:after="40"/>
      </w:pPr>
    </w:p>
    <w:p w14:paraId="420F1933" w14:textId="77777777" w:rsidR="009D5700" w:rsidRDefault="00000000">
      <w:pPr>
        <w:pStyle w:val="Titre2"/>
        <w:pBdr>
          <w:bottom w:val="single" w:sz="4" w:space="1" w:color="2E75B6"/>
        </w:pBdr>
      </w:pPr>
      <w:r>
        <w:lastRenderedPageBreak/>
        <w:t>7.2 – Capacités financières</w:t>
      </w:r>
    </w:p>
    <w:p w14:paraId="420F1934" w14:textId="77777777" w:rsidR="009D5700" w:rsidRDefault="00000000">
      <w:pPr>
        <w:spacing w:before="60" w:after="60"/>
        <w:ind w:left="640" w:hanging="320"/>
      </w:pPr>
      <w:r>
        <w:t>•  Lot 1 : CA annuel moyen (3 derniers exercices) ≥ 50 000 € HT</w:t>
      </w:r>
    </w:p>
    <w:p w14:paraId="420F1935" w14:textId="77777777" w:rsidR="009D5700" w:rsidRDefault="00000000">
      <w:pPr>
        <w:spacing w:before="60" w:after="60"/>
        <w:ind w:left="640" w:hanging="320"/>
      </w:pPr>
      <w:r>
        <w:t>•  Lot 2 : CA annuel moyen (3 derniers exercices) ≥ 25 000 € HT</w:t>
      </w:r>
    </w:p>
    <w:p w14:paraId="420F1936" w14:textId="77777777" w:rsidR="009D5700" w:rsidRDefault="009D5700">
      <w:pPr>
        <w:spacing w:after="40"/>
      </w:pPr>
    </w:p>
    <w:p w14:paraId="420F1937" w14:textId="77777777" w:rsidR="009D5700" w:rsidRDefault="00000000">
      <w:pPr>
        <w:pStyle w:val="Titre2"/>
        <w:pBdr>
          <w:bottom w:val="single" w:sz="4" w:space="1" w:color="2E75B6"/>
        </w:pBdr>
      </w:pPr>
      <w:r>
        <w:t>7.3 – Capacités techniques</w:t>
      </w:r>
    </w:p>
    <w:p w14:paraId="420F1938" w14:textId="77777777" w:rsidR="009D5700" w:rsidRDefault="00000000">
      <w:pPr>
        <w:spacing w:before="80" w:after="100"/>
      </w:pPr>
      <w:r>
        <w:rPr>
          <w:color w:val="000000"/>
        </w:rPr>
        <w:t>Au moins 2 références de prestations similaires sur les 3 dernières années.</w:t>
      </w:r>
    </w:p>
    <w:p w14:paraId="420F1939" w14:textId="77777777" w:rsidR="009D5700" w:rsidRDefault="00000000">
      <w:pPr>
        <w:spacing w:before="80" w:after="100"/>
      </w:pPr>
      <w:r>
        <w:rPr>
          <w:color w:val="000000"/>
        </w:rPr>
        <w:t>Lot 1 : Certifications VMware VCP et/ou Microsoft MCSE souhaitées pour les techniciens.</w:t>
      </w:r>
    </w:p>
    <w:p w14:paraId="420F193A" w14:textId="77777777" w:rsidR="009D5700" w:rsidRDefault="009D5700">
      <w:pPr>
        <w:spacing w:after="60"/>
      </w:pPr>
    </w:p>
    <w:p w14:paraId="420F193B" w14:textId="77777777" w:rsidR="009D5700" w:rsidRDefault="00000000">
      <w:pPr>
        <w:pStyle w:val="Titre1"/>
        <w:shd w:val="clear" w:color="auto" w:fill="1F4E79"/>
        <w:ind w:left="200" w:right="200"/>
      </w:pPr>
      <w:r>
        <w:t>ARTICLE 8 – CRITÈRES D'ATTRIBUTION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26"/>
        <w:gridCol w:w="3000"/>
      </w:tblGrid>
      <w:tr w:rsidR="009D5700" w14:paraId="420F193E" w14:textId="77777777">
        <w:tc>
          <w:tcPr>
            <w:tcW w:w="6026" w:type="dxa"/>
            <w:tcBorders>
              <w:top w:val="single" w:sz="4" w:space="0" w:color="CCCCCC"/>
              <w:left w:val="single" w:sz="4" w:space="0" w:color="CCCCCC"/>
              <w:bottom w:val="single" w:sz="4" w:space="0" w:color="CCCCCC"/>
              <w:right w:val="single" w:sz="4" w:space="0" w:color="CCCCCC"/>
            </w:tcBorders>
            <w:shd w:val="clear" w:color="auto" w:fill="1F4E79"/>
            <w:tcMar>
              <w:top w:w="80" w:type="dxa"/>
              <w:left w:w="130" w:type="dxa"/>
              <w:bottom w:w="80" w:type="dxa"/>
              <w:right w:w="130" w:type="dxa"/>
            </w:tcMar>
          </w:tcPr>
          <w:p w14:paraId="420F193C" w14:textId="77777777" w:rsidR="009D5700" w:rsidRDefault="00000000">
            <w:pPr>
              <w:jc w:val="center"/>
            </w:pPr>
            <w:r>
              <w:rPr>
                <w:b/>
                <w:bCs/>
                <w:color w:val="FFFFFF"/>
              </w:rPr>
              <w:t>Critère</w:t>
            </w:r>
          </w:p>
        </w:tc>
        <w:tc>
          <w:tcPr>
            <w:tcW w:w="3000" w:type="dxa"/>
            <w:tcBorders>
              <w:top w:val="single" w:sz="4" w:space="0" w:color="CCCCCC"/>
              <w:left w:val="single" w:sz="4" w:space="0" w:color="CCCCCC"/>
              <w:bottom w:val="single" w:sz="4" w:space="0" w:color="CCCCCC"/>
              <w:right w:val="single" w:sz="4" w:space="0" w:color="CCCCCC"/>
            </w:tcBorders>
            <w:shd w:val="clear" w:color="auto" w:fill="1F4E79"/>
            <w:tcMar>
              <w:top w:w="80" w:type="dxa"/>
              <w:left w:w="130" w:type="dxa"/>
              <w:bottom w:w="80" w:type="dxa"/>
              <w:right w:w="130" w:type="dxa"/>
            </w:tcMar>
          </w:tcPr>
          <w:p w14:paraId="420F193D" w14:textId="77777777" w:rsidR="009D5700" w:rsidRDefault="00000000">
            <w:pPr>
              <w:jc w:val="center"/>
            </w:pPr>
            <w:r>
              <w:rPr>
                <w:b/>
                <w:bCs/>
                <w:color w:val="FFFFFF"/>
              </w:rPr>
              <w:t>Pondération</w:t>
            </w:r>
          </w:p>
        </w:tc>
      </w:tr>
      <w:tr w:rsidR="009D5700" w14:paraId="420F1941" w14:textId="77777777">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30" w:type="dxa"/>
              <w:bottom w:w="80" w:type="dxa"/>
              <w:right w:w="130" w:type="dxa"/>
            </w:tcMar>
          </w:tcPr>
          <w:p w14:paraId="420F193F" w14:textId="77777777" w:rsidR="009D5700" w:rsidRDefault="00000000">
            <w:r>
              <w:rPr>
                <w:color w:val="000000"/>
              </w:rPr>
              <w:t>Valeur technique (adéquation aux specs, qualité matériels/méthodes, références, délais, SLA)</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30" w:type="dxa"/>
              <w:bottom w:w="80" w:type="dxa"/>
              <w:right w:w="130" w:type="dxa"/>
            </w:tcMar>
          </w:tcPr>
          <w:p w14:paraId="420F1940" w14:textId="77777777" w:rsidR="009D5700" w:rsidRDefault="00000000">
            <w:pPr>
              <w:jc w:val="center"/>
            </w:pPr>
            <w:r>
              <w:rPr>
                <w:b/>
                <w:bCs/>
                <w:color w:val="000000"/>
              </w:rPr>
              <w:t>40 %</w:t>
            </w:r>
          </w:p>
        </w:tc>
      </w:tr>
      <w:tr w:rsidR="009D5700" w14:paraId="420F1944" w14:textId="77777777">
        <w:tc>
          <w:tcPr>
            <w:tcW w:w="6026" w:type="dxa"/>
            <w:tcBorders>
              <w:top w:val="single" w:sz="4" w:space="0" w:color="CCCCCC"/>
              <w:left w:val="single" w:sz="4" w:space="0" w:color="CCCCCC"/>
              <w:bottom w:val="single" w:sz="4" w:space="0" w:color="CCCCCC"/>
              <w:right w:val="single" w:sz="4" w:space="0" w:color="CCCCCC"/>
            </w:tcBorders>
            <w:shd w:val="clear" w:color="auto" w:fill="F2F2F2"/>
            <w:tcMar>
              <w:top w:w="80" w:type="dxa"/>
              <w:left w:w="130" w:type="dxa"/>
              <w:bottom w:w="80" w:type="dxa"/>
              <w:right w:w="130" w:type="dxa"/>
            </w:tcMar>
          </w:tcPr>
          <w:p w14:paraId="420F1942" w14:textId="77777777" w:rsidR="009D5700" w:rsidRDefault="00000000">
            <w:r>
              <w:rPr>
                <w:color w:val="000000"/>
              </w:rPr>
              <w:t>Prix (note sur DQE valorisé)</w:t>
            </w:r>
          </w:p>
        </w:tc>
        <w:tc>
          <w:tcPr>
            <w:tcW w:w="30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30" w:type="dxa"/>
              <w:bottom w:w="80" w:type="dxa"/>
              <w:right w:w="130" w:type="dxa"/>
            </w:tcMar>
          </w:tcPr>
          <w:p w14:paraId="420F1943" w14:textId="77777777" w:rsidR="009D5700" w:rsidRDefault="00000000">
            <w:pPr>
              <w:jc w:val="center"/>
            </w:pPr>
            <w:r>
              <w:rPr>
                <w:b/>
                <w:bCs/>
                <w:color w:val="000000"/>
              </w:rPr>
              <w:t>40 %</w:t>
            </w:r>
          </w:p>
        </w:tc>
      </w:tr>
      <w:tr w:rsidR="009D5700" w14:paraId="420F1947" w14:textId="77777777">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30" w:type="dxa"/>
              <w:bottom w:w="80" w:type="dxa"/>
              <w:right w:w="130" w:type="dxa"/>
            </w:tcMar>
          </w:tcPr>
          <w:p w14:paraId="420F1945" w14:textId="77777777" w:rsidR="009D5700" w:rsidRDefault="00000000">
            <w:r>
              <w:rPr>
                <w:color w:val="000000"/>
              </w:rPr>
              <w:t>Garanties, SAV et délais d'intervention (Lot 1 : SLA MCO ; Lot 2 : garantie + délai livraison)</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30" w:type="dxa"/>
              <w:bottom w:w="80" w:type="dxa"/>
              <w:right w:w="130" w:type="dxa"/>
            </w:tcMar>
          </w:tcPr>
          <w:p w14:paraId="420F1946" w14:textId="77777777" w:rsidR="009D5700" w:rsidRDefault="00000000">
            <w:pPr>
              <w:jc w:val="center"/>
            </w:pPr>
            <w:r>
              <w:rPr>
                <w:b/>
                <w:bCs/>
                <w:color w:val="000000"/>
              </w:rPr>
              <w:t>20 %</w:t>
            </w:r>
          </w:p>
        </w:tc>
      </w:tr>
    </w:tbl>
    <w:p w14:paraId="420F1948" w14:textId="77777777" w:rsidR="009D5700" w:rsidRDefault="009D5700">
      <w:pPr>
        <w:spacing w:after="60"/>
      </w:pPr>
    </w:p>
    <w:p w14:paraId="420F1949" w14:textId="77777777" w:rsidR="009D5700" w:rsidRDefault="00000000">
      <w:pPr>
        <w:pStyle w:val="Titre1"/>
        <w:shd w:val="clear" w:color="auto" w:fill="1F4E79"/>
        <w:ind w:left="200" w:right="200"/>
      </w:pPr>
      <w:r>
        <w:t>ARTICLE 9 – REMISE DES OFFRES</w:t>
      </w:r>
    </w:p>
    <w:p w14:paraId="420F194A" w14:textId="5BE7B1B0" w:rsidR="009D5700" w:rsidRDefault="00000000">
      <w:pPr>
        <w:spacing w:before="80" w:after="100"/>
      </w:pPr>
      <w:r>
        <w:rPr>
          <w:color w:val="000000"/>
        </w:rPr>
        <w:t xml:space="preserve">Exclusivement par voie électronique : </w:t>
      </w:r>
      <w:hyperlink r:id="rId8" w:history="1">
        <w:r w:rsidR="00C56CD3" w:rsidRPr="007C4BD4">
          <w:rPr>
            <w:rStyle w:val="Lienhypertexte"/>
          </w:rPr>
          <w:t>https://www.marches-securises.fr</w:t>
        </w:r>
      </w:hyperlink>
      <w:r w:rsidR="00C56CD3">
        <w:rPr>
          <w:color w:val="000000"/>
        </w:rPr>
        <w:t xml:space="preserve"> </w:t>
      </w:r>
    </w:p>
    <w:p w14:paraId="420F194B" w14:textId="77777777" w:rsidR="009D5700" w:rsidRDefault="00000000">
      <w:pPr>
        <w:spacing w:before="80" w:after="100"/>
      </w:pPr>
      <w:r>
        <w:rPr>
          <w:color w:val="000000"/>
        </w:rPr>
        <w:t xml:space="preserve">Date limite : </w:t>
      </w:r>
      <w:r w:rsidRPr="00C56CD3">
        <w:rPr>
          <w:b/>
          <w:bCs/>
          <w:color w:val="C00000"/>
        </w:rPr>
        <w:t>28 mars 2026 à 12h00 (heure de Mayotte – UTC+3).</w:t>
      </w:r>
      <w:r>
        <w:rPr>
          <w:color w:val="000000"/>
        </w:rPr>
        <w:t xml:space="preserve"> Toute offre remise après cette heure est irrecevable.</w:t>
      </w:r>
    </w:p>
    <w:p w14:paraId="420F194C" w14:textId="77777777" w:rsidR="009D5700" w:rsidRDefault="009D5700">
      <w:pPr>
        <w:spacing w:after="60"/>
      </w:pPr>
    </w:p>
    <w:p w14:paraId="420F194D" w14:textId="77777777" w:rsidR="009D5700" w:rsidRDefault="00000000">
      <w:pPr>
        <w:pStyle w:val="Titre1"/>
        <w:shd w:val="clear" w:color="auto" w:fill="1F4E79"/>
        <w:ind w:left="200" w:right="200"/>
      </w:pPr>
      <w:r>
        <w:t>ARTICLE 10 – DOCUMENTS À FOURNIR</w:t>
      </w:r>
    </w:p>
    <w:p w14:paraId="420F194E" w14:textId="77777777" w:rsidR="009D5700" w:rsidRDefault="00000000">
      <w:pPr>
        <w:pStyle w:val="Titre2"/>
        <w:pBdr>
          <w:bottom w:val="single" w:sz="4" w:space="1" w:color="2E75B6"/>
        </w:pBdr>
      </w:pPr>
      <w:r>
        <w:t>10.1 – Candidature</w:t>
      </w:r>
    </w:p>
    <w:p w14:paraId="420F194F" w14:textId="77777777" w:rsidR="009D5700" w:rsidRDefault="00000000">
      <w:pPr>
        <w:spacing w:before="60" w:after="60"/>
        <w:ind w:left="640" w:hanging="320"/>
      </w:pPr>
      <w:r>
        <w:t>•  DC1 (lettre de candidature) + DC2 (déclaration du candidat) ou équivalents signés</w:t>
      </w:r>
    </w:p>
    <w:p w14:paraId="420F1950" w14:textId="77777777" w:rsidR="009D5700" w:rsidRDefault="00000000">
      <w:pPr>
        <w:spacing w:before="60" w:after="60"/>
        <w:ind w:left="640" w:hanging="320"/>
      </w:pPr>
      <w:r>
        <w:t>•  Attestations de CA (3 derniers exercices) – Références similaires (min. 2 par lot)</w:t>
      </w:r>
    </w:p>
    <w:p w14:paraId="420F1951" w14:textId="77777777" w:rsidR="009D5700" w:rsidRDefault="00000000">
      <w:pPr>
        <w:spacing w:before="60" w:after="60"/>
        <w:ind w:left="640" w:hanging="320"/>
      </w:pPr>
      <w:r>
        <w:t>•  Lot 1 : certifications des techniciens (VMware, Microsoft ou équivalent)</w:t>
      </w:r>
    </w:p>
    <w:p w14:paraId="420F1952" w14:textId="77777777" w:rsidR="009D5700" w:rsidRDefault="009D5700">
      <w:pPr>
        <w:spacing w:after="40"/>
      </w:pPr>
    </w:p>
    <w:p w14:paraId="420F1953" w14:textId="77777777" w:rsidR="009D5700" w:rsidRDefault="00000000">
      <w:pPr>
        <w:pStyle w:val="Titre2"/>
        <w:pBdr>
          <w:bottom w:val="single" w:sz="4" w:space="1" w:color="2E75B6"/>
        </w:pBdr>
      </w:pPr>
      <w:r>
        <w:t>10.2 – Offre (par lot)</w:t>
      </w:r>
    </w:p>
    <w:p w14:paraId="420F1954" w14:textId="77777777" w:rsidR="009D5700" w:rsidRDefault="00000000">
      <w:pPr>
        <w:spacing w:before="60" w:after="60"/>
        <w:ind w:left="640" w:hanging="320"/>
      </w:pPr>
      <w:r>
        <w:t>•  Acte d'Engagement (AE) signé et daté</w:t>
      </w:r>
    </w:p>
    <w:p w14:paraId="420F1955" w14:textId="77777777" w:rsidR="009D5700" w:rsidRDefault="00000000">
      <w:pPr>
        <w:spacing w:before="60" w:after="60"/>
        <w:ind w:left="640" w:hanging="320"/>
      </w:pPr>
      <w:r>
        <w:t>•  BPU complété et signé + DQE valorisé et signé</w:t>
      </w:r>
    </w:p>
    <w:p w14:paraId="420F1956" w14:textId="77777777" w:rsidR="009D5700" w:rsidRDefault="00000000">
      <w:pPr>
        <w:spacing w:before="60" w:after="60"/>
        <w:ind w:left="640" w:hanging="320"/>
      </w:pPr>
      <w:r>
        <w:t>•  Mémoire technique (valeur technique de l'offre, documentation des équipements ou prestations proposés)</w:t>
      </w:r>
    </w:p>
    <w:p w14:paraId="420F1957" w14:textId="77777777" w:rsidR="009D5700" w:rsidRDefault="009D5700">
      <w:pPr>
        <w:spacing w:after="60"/>
      </w:pPr>
    </w:p>
    <w:p w14:paraId="420F1958" w14:textId="77777777" w:rsidR="009D5700" w:rsidRDefault="00000000">
      <w:pPr>
        <w:pStyle w:val="Titre1"/>
        <w:shd w:val="clear" w:color="auto" w:fill="1F4E79"/>
        <w:ind w:left="200" w:right="200"/>
      </w:pPr>
      <w:r>
        <w:t>ARTICLE 11 – CONDITIONS FINANCIÈRES</w:t>
      </w:r>
    </w:p>
    <w:p w14:paraId="420F1959" w14:textId="77777777" w:rsidR="009D5700" w:rsidRDefault="00000000">
      <w:pPr>
        <w:spacing w:before="80" w:after="100"/>
      </w:pPr>
      <w:r>
        <w:rPr>
          <w:color w:val="000000"/>
        </w:rPr>
        <w:t>TVA : 0 % – exonération Mayotte (CGI). Paiement : 30 jours via Chorus Pro. CCAG-FCS applicable.</w:t>
      </w:r>
    </w:p>
    <w:p w14:paraId="420F195A" w14:textId="77777777" w:rsidR="009D5700" w:rsidRDefault="009D5700">
      <w:pPr>
        <w:spacing w:after="60"/>
      </w:pPr>
    </w:p>
    <w:p w14:paraId="420F195B" w14:textId="77777777" w:rsidR="009D5700" w:rsidRDefault="00000000">
      <w:pPr>
        <w:pStyle w:val="Titre1"/>
        <w:shd w:val="clear" w:color="auto" w:fill="1F4E79"/>
        <w:ind w:left="200" w:right="200"/>
      </w:pPr>
      <w:r>
        <w:lastRenderedPageBreak/>
        <w:t>ARTICLE 12 – RENSEIGNEMENTS COMPLÉMENTAIRES</w:t>
      </w:r>
    </w:p>
    <w:p w14:paraId="420F195C" w14:textId="77777777" w:rsidR="009D5700" w:rsidRDefault="00000000">
      <w:pPr>
        <w:spacing w:before="80" w:after="100"/>
      </w:pPr>
      <w:r>
        <w:rPr>
          <w:color w:val="000000"/>
        </w:rPr>
        <w:t>Questions exclusivement via la messagerie du profil acheteur (https://www.marches-securises.fr).</w:t>
      </w:r>
    </w:p>
    <w:p w14:paraId="420F195D" w14:textId="77777777" w:rsidR="009D5700" w:rsidRDefault="00000000">
      <w:pPr>
        <w:spacing w:before="80" w:after="100"/>
      </w:pPr>
      <w:r>
        <w:rPr>
          <w:color w:val="000000"/>
        </w:rPr>
        <w:t>Date limite de réception des questions : 24 mars 2026 à 17h00 – Réponses publiées au plus tard le 27 mars 2026.</w:t>
      </w:r>
    </w:p>
    <w:p w14:paraId="420F195E" w14:textId="77777777" w:rsidR="009D5700" w:rsidRDefault="009D5700">
      <w:pPr>
        <w:spacing w:after="120"/>
      </w:pPr>
    </w:p>
    <w:p w14:paraId="420F195F" w14:textId="77777777" w:rsidR="009D5700" w:rsidRDefault="00000000">
      <w:pPr>
        <w:spacing w:before="400" w:after="100"/>
      </w:pPr>
      <w:r>
        <w:rPr>
          <w:color w:val="000000"/>
        </w:rPr>
        <w:t>Fait à M'Tsangamouji, le 10 mars 2026</w:t>
      </w:r>
    </w:p>
    <w:p w14:paraId="420F1960" w14:textId="77777777" w:rsidR="009D5700" w:rsidRDefault="009D5700">
      <w:pPr>
        <w:spacing w:after="80"/>
      </w:pPr>
    </w:p>
    <w:p w14:paraId="420F1961" w14:textId="77777777" w:rsidR="009D5700" w:rsidRDefault="00000000">
      <w:pPr>
        <w:spacing w:before="300"/>
      </w:pPr>
      <w:r>
        <w:rPr>
          <w:b/>
          <w:bCs/>
        </w:rPr>
        <w:t>Le Président de la 3CO – M. IBRAHIMA Said Maanrifa</w:t>
      </w:r>
    </w:p>
    <w:sectPr w:rsidR="009D5700">
      <w:headerReference w:type="default" r:id="rId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EB1B" w14:textId="77777777" w:rsidR="002A492F" w:rsidRDefault="002A492F">
      <w:r>
        <w:separator/>
      </w:r>
    </w:p>
  </w:endnote>
  <w:endnote w:type="continuationSeparator" w:id="0">
    <w:p w14:paraId="0E9CC680" w14:textId="77777777" w:rsidR="002A492F" w:rsidRDefault="002A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1965" w14:textId="17224056" w:rsidR="009D5700" w:rsidRDefault="00000000">
    <w:pPr>
      <w:pBdr>
        <w:top w:val="single" w:sz="4" w:space="1" w:color="2E75B6"/>
      </w:pBdr>
      <w:spacing w:before="100"/>
      <w:jc w:val="center"/>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666AC4">
      <w:rPr>
        <w:noProof/>
        <w:color w:val="888888"/>
        <w:sz w:val="16"/>
        <w:szCs w:val="16"/>
      </w:rPr>
      <w:t>1</w:t>
    </w:r>
    <w:r>
      <w:rPr>
        <w:color w:val="888888"/>
        <w:sz w:val="16"/>
        <w:szCs w:val="16"/>
      </w:rPr>
      <w:fldChar w:fldCharType="end"/>
    </w:r>
    <w:r>
      <w:rPr>
        <w:color w:val="888888"/>
        <w:sz w:val="16"/>
        <w:szCs w:val="16"/>
      </w:rPr>
      <w:t xml:space="preserve"> / </w:t>
    </w:r>
    <w:r>
      <w:rPr>
        <w:color w:val="888888"/>
        <w:sz w:val="16"/>
        <w:szCs w:val="16"/>
      </w:rPr>
      <w:fldChar w:fldCharType="begin"/>
    </w:r>
    <w:r>
      <w:rPr>
        <w:color w:val="888888"/>
        <w:sz w:val="16"/>
        <w:szCs w:val="16"/>
      </w:rPr>
      <w:instrText>NUMPAGES</w:instrText>
    </w:r>
    <w:r>
      <w:rPr>
        <w:color w:val="888888"/>
        <w:sz w:val="16"/>
        <w:szCs w:val="16"/>
      </w:rPr>
      <w:fldChar w:fldCharType="separate"/>
    </w:r>
    <w:r w:rsidR="00666AC4">
      <w:rPr>
        <w:noProof/>
        <w:color w:val="888888"/>
        <w:sz w:val="16"/>
        <w:szCs w:val="16"/>
      </w:rPr>
      <w:t>2</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1C1E" w14:textId="77777777" w:rsidR="002A492F" w:rsidRDefault="002A492F">
      <w:r>
        <w:separator/>
      </w:r>
    </w:p>
  </w:footnote>
  <w:footnote w:type="continuationSeparator" w:id="0">
    <w:p w14:paraId="10C84E3F" w14:textId="77777777" w:rsidR="002A492F" w:rsidRDefault="002A4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1964" w14:textId="77777777" w:rsidR="009D5700" w:rsidRDefault="00000000">
    <w:pPr>
      <w:pBdr>
        <w:bottom w:val="single" w:sz="4" w:space="1" w:color="2E75B6"/>
      </w:pBdr>
      <w:spacing w:after="100"/>
      <w:jc w:val="right"/>
    </w:pPr>
    <w:r>
      <w:rPr>
        <w:color w:val="888888"/>
        <w:sz w:val="16"/>
        <w:szCs w:val="16"/>
      </w:rPr>
      <w:t>3CO – AAPC | Équipements informatiques | 2026/3CO/014-015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66196"/>
    <w:multiLevelType w:val="hybridMultilevel"/>
    <w:tmpl w:val="F746F474"/>
    <w:lvl w:ilvl="0" w:tplc="AFA61CE2">
      <w:start w:val="1"/>
      <w:numFmt w:val="bullet"/>
      <w:lvlText w:val="●"/>
      <w:lvlJc w:val="left"/>
      <w:pPr>
        <w:ind w:left="720" w:hanging="360"/>
      </w:pPr>
    </w:lvl>
    <w:lvl w:ilvl="1" w:tplc="6F325D1A">
      <w:start w:val="1"/>
      <w:numFmt w:val="bullet"/>
      <w:lvlText w:val="○"/>
      <w:lvlJc w:val="left"/>
      <w:pPr>
        <w:ind w:left="1440" w:hanging="360"/>
      </w:pPr>
    </w:lvl>
    <w:lvl w:ilvl="2" w:tplc="2D0C92CC">
      <w:start w:val="1"/>
      <w:numFmt w:val="bullet"/>
      <w:lvlText w:val="■"/>
      <w:lvlJc w:val="left"/>
      <w:pPr>
        <w:ind w:left="2160" w:hanging="360"/>
      </w:pPr>
    </w:lvl>
    <w:lvl w:ilvl="3" w:tplc="1F6CDA48">
      <w:start w:val="1"/>
      <w:numFmt w:val="bullet"/>
      <w:lvlText w:val="●"/>
      <w:lvlJc w:val="left"/>
      <w:pPr>
        <w:ind w:left="2880" w:hanging="360"/>
      </w:pPr>
    </w:lvl>
    <w:lvl w:ilvl="4" w:tplc="86D64FC4">
      <w:start w:val="1"/>
      <w:numFmt w:val="bullet"/>
      <w:lvlText w:val="○"/>
      <w:lvlJc w:val="left"/>
      <w:pPr>
        <w:ind w:left="3600" w:hanging="360"/>
      </w:pPr>
    </w:lvl>
    <w:lvl w:ilvl="5" w:tplc="625CFED4">
      <w:start w:val="1"/>
      <w:numFmt w:val="bullet"/>
      <w:lvlText w:val="■"/>
      <w:lvlJc w:val="left"/>
      <w:pPr>
        <w:ind w:left="4320" w:hanging="360"/>
      </w:pPr>
    </w:lvl>
    <w:lvl w:ilvl="6" w:tplc="A2201160">
      <w:start w:val="1"/>
      <w:numFmt w:val="bullet"/>
      <w:lvlText w:val="●"/>
      <w:lvlJc w:val="left"/>
      <w:pPr>
        <w:ind w:left="5040" w:hanging="360"/>
      </w:pPr>
    </w:lvl>
    <w:lvl w:ilvl="7" w:tplc="F3C8CFB4">
      <w:start w:val="1"/>
      <w:numFmt w:val="bullet"/>
      <w:lvlText w:val="●"/>
      <w:lvlJc w:val="left"/>
      <w:pPr>
        <w:ind w:left="5760" w:hanging="360"/>
      </w:pPr>
    </w:lvl>
    <w:lvl w:ilvl="8" w:tplc="E53481AA">
      <w:start w:val="1"/>
      <w:numFmt w:val="bullet"/>
      <w:lvlText w:val="●"/>
      <w:lvlJc w:val="left"/>
      <w:pPr>
        <w:ind w:left="6480" w:hanging="360"/>
      </w:pPr>
    </w:lvl>
  </w:abstractNum>
  <w:num w:numId="1" w16cid:durableId="14472319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700"/>
    <w:rsid w:val="00010211"/>
    <w:rsid w:val="002A492F"/>
    <w:rsid w:val="004657AB"/>
    <w:rsid w:val="00495109"/>
    <w:rsid w:val="00666AC4"/>
    <w:rsid w:val="00880A58"/>
    <w:rsid w:val="009D5700"/>
    <w:rsid w:val="00B13AD8"/>
    <w:rsid w:val="00B95E07"/>
    <w:rsid w:val="00C56CD3"/>
    <w:rsid w:val="00D92002"/>
    <w:rsid w:val="00FB4E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18CE"/>
  <w15:docId w15:val="{8F42014B-CB01-4AC0-AFE3-0E10987E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160"/>
      <w:outlineLvl w:val="0"/>
    </w:pPr>
    <w:rPr>
      <w:b/>
      <w:bCs/>
      <w:color w:val="FFFFFF"/>
      <w:sz w:val="28"/>
      <w:szCs w:val="28"/>
    </w:rPr>
  </w:style>
  <w:style w:type="paragraph" w:styleId="Titre2">
    <w:name w:val="heading 2"/>
    <w:uiPriority w:val="9"/>
    <w:unhideWhenUsed/>
    <w:qFormat/>
    <w:pPr>
      <w:spacing w:before="240" w:after="120"/>
      <w:outlineLvl w:val="1"/>
    </w:pPr>
    <w:rPr>
      <w:b/>
      <w:bCs/>
      <w:color w:val="1F4E79"/>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character" w:styleId="Mentionnonrsolue">
    <w:name w:val="Unresolved Mention"/>
    <w:basedOn w:val="Policepardfaut"/>
    <w:uiPriority w:val="99"/>
    <w:semiHidden/>
    <w:unhideWhenUsed/>
    <w:rsid w:val="00C56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rches-securises.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1086</Words>
  <Characters>5847</Characters>
  <Application>Microsoft Office Word</Application>
  <DocSecurity>0</DocSecurity>
  <Lines>188</Lines>
  <Paragraphs>141</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Anassi DANIEL</cp:lastModifiedBy>
  <cp:revision>7</cp:revision>
  <dcterms:created xsi:type="dcterms:W3CDTF">2026-03-10T08:24:00Z</dcterms:created>
  <dcterms:modified xsi:type="dcterms:W3CDTF">2026-03-10T10:44:00Z</dcterms:modified>
</cp:coreProperties>
</file>