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5999" w14:textId="77777777" w:rsidR="008D1F5A" w:rsidRPr="00523EB6" w:rsidRDefault="00112670" w:rsidP="00523EB6">
      <w:pPr>
        <w:jc w:val="center"/>
        <w:rPr>
          <w:rFonts w:ascii="Verdana" w:hAnsi="Verdana" w:cs="Times New Roman"/>
          <w:b/>
          <w:sz w:val="32"/>
          <w:szCs w:val="32"/>
          <w:lang w:eastAsia="en-US"/>
        </w:rPr>
      </w:pPr>
      <w:r>
        <w:rPr>
          <w:rFonts w:ascii="Times New Roman" w:hAnsi="Times New Roman" w:cs="Times New Roman"/>
          <w:sz w:val="24"/>
          <w:szCs w:val="24"/>
        </w:rPr>
        <w:t xml:space="preserve"> </w:t>
      </w:r>
      <w:r w:rsidR="00E66D62">
        <w:rPr>
          <w:rFonts w:ascii="Verdana" w:hAnsi="Verdana" w:cs="Times New Roman"/>
          <w:b/>
          <w:sz w:val="32"/>
          <w:szCs w:val="32"/>
          <w:lang w:eastAsia="en-US"/>
        </w:rPr>
        <w:t>Mairie de Vineuil Saint Firmin</w:t>
      </w:r>
    </w:p>
    <w:p w14:paraId="3DEE0DF6" w14:textId="77777777" w:rsidR="008D1F5A" w:rsidRPr="00523EB6" w:rsidRDefault="00E66D62" w:rsidP="00523EB6">
      <w:pPr>
        <w:spacing w:after="0"/>
        <w:jc w:val="center"/>
        <w:rPr>
          <w:rFonts w:ascii="Verdana" w:hAnsi="Verdana" w:cs="Times New Roman"/>
          <w:b/>
          <w:lang w:eastAsia="en-US"/>
        </w:rPr>
      </w:pPr>
      <w:r>
        <w:rPr>
          <w:rFonts w:ascii="Verdana" w:hAnsi="Verdana" w:cs="Times New Roman"/>
          <w:b/>
          <w:lang w:eastAsia="en-US"/>
        </w:rPr>
        <w:t>1 rue de la Duchesse-de-Chartres</w:t>
      </w:r>
    </w:p>
    <w:p w14:paraId="709A65DD" w14:textId="77777777" w:rsidR="008D1F5A" w:rsidRPr="00523EB6" w:rsidRDefault="00E66D62" w:rsidP="00523EB6">
      <w:pPr>
        <w:spacing w:after="0"/>
        <w:jc w:val="center"/>
        <w:rPr>
          <w:rFonts w:ascii="Verdana" w:hAnsi="Verdana" w:cs="Times New Roman"/>
          <w:b/>
          <w:lang w:eastAsia="en-US"/>
        </w:rPr>
      </w:pPr>
      <w:r>
        <w:rPr>
          <w:rFonts w:ascii="Verdana" w:hAnsi="Verdana" w:cs="Times New Roman"/>
          <w:b/>
          <w:lang w:eastAsia="en-US"/>
        </w:rPr>
        <w:t>60500</w:t>
      </w:r>
      <w:r w:rsidR="008D1F5A" w:rsidRPr="00523EB6">
        <w:rPr>
          <w:rFonts w:ascii="Verdana" w:hAnsi="Verdana" w:cs="Times New Roman"/>
          <w:b/>
          <w:lang w:eastAsia="en-US"/>
        </w:rPr>
        <w:t xml:space="preserve"> </w:t>
      </w:r>
      <w:r>
        <w:rPr>
          <w:rFonts w:ascii="Verdana" w:hAnsi="Verdana" w:cs="Times New Roman"/>
          <w:b/>
          <w:lang w:eastAsia="en-US"/>
        </w:rPr>
        <w:t>Vineuil Saint Firmin</w:t>
      </w:r>
    </w:p>
    <w:p w14:paraId="6E42C4C5" w14:textId="77777777" w:rsidR="008D1F5A" w:rsidRPr="00523EB6" w:rsidRDefault="008D1F5A" w:rsidP="00523EB6">
      <w:pPr>
        <w:spacing w:after="0"/>
        <w:jc w:val="center"/>
        <w:rPr>
          <w:rFonts w:ascii="Verdana" w:hAnsi="Verdana" w:cs="Times New Roman"/>
          <w:b/>
          <w:lang w:eastAsia="en-US"/>
        </w:rPr>
      </w:pPr>
      <w:r w:rsidRPr="00523EB6">
        <w:rPr>
          <w:rFonts w:ascii="Verdana" w:hAnsi="Verdana" w:cs="Times New Roman"/>
          <w:b/>
          <w:lang w:eastAsia="en-US"/>
        </w:rPr>
        <w:t xml:space="preserve">Tel : </w:t>
      </w:r>
      <w:r w:rsidR="00E66D62">
        <w:rPr>
          <w:rFonts w:ascii="Verdana" w:hAnsi="Verdana" w:cs="Times New Roman"/>
          <w:b/>
          <w:lang w:eastAsia="en-US"/>
        </w:rPr>
        <w:t>0344570605</w:t>
      </w:r>
    </w:p>
    <w:p w14:paraId="1283B294" w14:textId="77777777" w:rsidR="008D1F5A" w:rsidRDefault="008D1F5A" w:rsidP="008D1F5A">
      <w:pPr>
        <w:rPr>
          <w:rFonts w:ascii="Verdana" w:hAnsi="Verdana" w:cs="Times New Roman"/>
          <w:b/>
          <w:color w:val="800000"/>
          <w:lang w:eastAsia="en-US"/>
        </w:rPr>
      </w:pPr>
    </w:p>
    <w:p w14:paraId="616698BA" w14:textId="77777777" w:rsidR="00741050" w:rsidRDefault="00741050" w:rsidP="008D1F5A">
      <w:pPr>
        <w:rPr>
          <w:rFonts w:ascii="Verdana" w:hAnsi="Verdana" w:cs="Times New Roman"/>
          <w:b/>
          <w:color w:val="800000"/>
          <w:lang w:eastAsia="en-US"/>
        </w:rPr>
      </w:pPr>
    </w:p>
    <w:p w14:paraId="37FE03EB" w14:textId="77777777" w:rsidR="00BD04D0" w:rsidRDefault="00EC136F" w:rsidP="008D1F5A">
      <w:pPr>
        <w:jc w:val="center"/>
        <w:rPr>
          <w:rFonts w:ascii="Verdana" w:hAnsi="Verdana" w:cs="Times New Roman"/>
          <w:b/>
          <w:color w:val="800000"/>
          <w:sz w:val="32"/>
          <w:szCs w:val="32"/>
          <w:lang w:eastAsia="en-US"/>
        </w:rPr>
      </w:pPr>
      <w:r>
        <w:rPr>
          <w:noProof/>
        </w:rPr>
        <mc:AlternateContent>
          <mc:Choice Requires="wps">
            <w:drawing>
              <wp:anchor distT="0" distB="0" distL="114300" distR="114300" simplePos="0" relativeHeight="251660288" behindDoc="0" locked="0" layoutInCell="1" allowOverlap="1" wp14:anchorId="03854151" wp14:editId="2A276DFC">
                <wp:simplePos x="0" y="0"/>
                <wp:positionH relativeFrom="column">
                  <wp:posOffset>114300</wp:posOffset>
                </wp:positionH>
                <wp:positionV relativeFrom="paragraph">
                  <wp:posOffset>239395</wp:posOffset>
                </wp:positionV>
                <wp:extent cx="3429000" cy="873125"/>
                <wp:effectExtent l="0" t="0" r="0" b="0"/>
                <wp:wrapNone/>
                <wp:docPr id="19906540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2900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AA9F7" w14:textId="77777777" w:rsidR="00BD04D0" w:rsidRPr="00071EC1" w:rsidRDefault="00112670" w:rsidP="00EF3EC3">
                            <w:pPr>
                              <w:jc w:val="center"/>
                              <w:rPr>
                                <w:rFonts w:ascii="Verdana" w:hAnsi="Verdana" w:cs="Times New Roman"/>
                                <w:b/>
                                <w:color w:val="FFFFFF"/>
                                <w:sz w:val="32"/>
                                <w:szCs w:val="32"/>
                                <w:lang w:eastAsia="en-US"/>
                              </w:rPr>
                            </w:pPr>
                            <w:r>
                              <w:rPr>
                                <w:rFonts w:ascii="Times New Roman" w:hAnsi="Times New Roman" w:cs="Times New Roman"/>
                                <w:sz w:val="24"/>
                                <w:szCs w:val="24"/>
                              </w:rPr>
                              <w:t xml:space="preserve"> </w:t>
                            </w:r>
                            <w:r w:rsidR="00E66D62">
                              <w:rPr>
                                <w:rFonts w:ascii="Verdana" w:hAnsi="Verdana" w:cs="Times New Roman"/>
                                <w:b/>
                                <w:color w:val="FFFFFF"/>
                                <w:sz w:val="32"/>
                                <w:szCs w:val="32"/>
                                <w:lang w:eastAsia="en-US"/>
                              </w:rPr>
                              <w:t>Marché de travaux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54151" id="_x0000_t202" coordsize="21600,21600" o:spt="202" path="m,l,21600r21600,l21600,xe">
                <v:stroke joinstyle="miter"/>
                <v:path gradientshapeok="t" o:connecttype="rect"/>
              </v:shapetype>
              <v:shape id="Text Box 2" o:spid="_x0000_s1026" type="#_x0000_t202" style="position:absolute;left:0;text-align:left;margin-left:9pt;margin-top:18.85pt;width:270pt;height:6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" filled="f" stroked="f">
                <v:path arrowok="t"/>
                <v:textbox>
                  <w:txbxContent>
                    <w:p w14:paraId="3E6AA9F7" w14:textId="77777777" w:rsidR="00BD04D0" w:rsidRPr="00071EC1" w:rsidRDefault="00112670" w:rsidP="00EF3EC3">
                      <w:pPr>
                        <w:jc w:val="center"/>
                        <w:rPr>
                          <w:rFonts w:ascii="Verdana" w:hAnsi="Verdana" w:cs="Times New Roman"/>
                          <w:b/>
                          <w:color w:val="FFFFFF"/>
                          <w:sz w:val="32"/>
                          <w:szCs w:val="32"/>
                          <w:lang w:eastAsia="en-US"/>
                        </w:rPr>
                      </w:pPr>
                      <w:r>
                        <w:rPr>
                          <w:rFonts w:ascii="Times New Roman" w:hAnsi="Times New Roman" w:cs="Times New Roman"/>
                          <w:sz w:val="24"/>
                          <w:szCs w:val="24"/>
                        </w:rPr>
                        <w:t xml:space="preserve"> </w:t>
                      </w:r>
                      <w:r w:rsidR="00E66D62">
                        <w:rPr>
                          <w:rFonts w:ascii="Verdana" w:hAnsi="Verdana" w:cs="Times New Roman"/>
                          <w:b/>
                          <w:color w:val="FFFFFF"/>
                          <w:sz w:val="32"/>
                          <w:szCs w:val="32"/>
                          <w:lang w:eastAsia="en-US"/>
                        </w:rPr>
                        <w:t>Marché de travaux</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5B320CE" wp14:editId="03FE6AE3">
                <wp:simplePos x="0" y="0"/>
                <wp:positionH relativeFrom="column">
                  <wp:posOffset>114300</wp:posOffset>
                </wp:positionH>
                <wp:positionV relativeFrom="paragraph">
                  <wp:posOffset>166370</wp:posOffset>
                </wp:positionV>
                <wp:extent cx="3429000" cy="1558925"/>
                <wp:effectExtent l="0" t="0" r="0" b="3175"/>
                <wp:wrapNone/>
                <wp:docPr id="57143346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558925"/>
                        </a:xfrm>
                        <a:prstGeom prst="roundRect">
                          <a:avLst>
                            <a:gd name="adj" fmla="val 16667"/>
                          </a:avLst>
                        </a:prstGeom>
                        <a:solidFill>
                          <a:srgbClr val="640C0E"/>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12FD3C" id="AutoShape 3" o:spid="_x0000_s1026" style="position:absolute;margin-left:9pt;margin-top:13.1pt;width:270pt;height:12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" fillcolor="#640c0e">
                <v:path arrowok="t"/>
              </v:roundrect>
            </w:pict>
          </mc:Fallback>
        </mc:AlternateContent>
      </w:r>
    </w:p>
    <w:p w14:paraId="26E91AE0" w14:textId="77777777" w:rsidR="00546478" w:rsidRDefault="00EC136F" w:rsidP="00546478">
      <w:pPr>
        <w:jc w:val="center"/>
        <w:rPr>
          <w:rFonts w:cs="Times New Roman"/>
          <w:lang w:eastAsia="en-US"/>
        </w:rPr>
      </w:pPr>
      <w:r>
        <w:rPr>
          <w:noProof/>
        </w:rPr>
        <mc:AlternateContent>
          <mc:Choice Requires="wps">
            <w:drawing>
              <wp:anchor distT="0" distB="0" distL="114300" distR="114300" simplePos="0" relativeHeight="251659264" behindDoc="0" locked="0" layoutInCell="1" allowOverlap="1" wp14:anchorId="52573718" wp14:editId="76E96922">
                <wp:simplePos x="0" y="0"/>
                <wp:positionH relativeFrom="column">
                  <wp:posOffset>2628900</wp:posOffset>
                </wp:positionH>
                <wp:positionV relativeFrom="paragraph">
                  <wp:posOffset>259080</wp:posOffset>
                </wp:positionV>
                <wp:extent cx="3657600" cy="1444625"/>
                <wp:effectExtent l="0" t="0" r="0" b="3175"/>
                <wp:wrapNone/>
                <wp:docPr id="12679573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1444625"/>
                        </a:xfrm>
                        <a:prstGeom prst="roundRect">
                          <a:avLst>
                            <a:gd name="adj" fmla="val 16667"/>
                          </a:avLst>
                        </a:prstGeom>
                        <a:solidFill>
                          <a:srgbClr val="891114"/>
                        </a:solidFill>
                        <a:ln w="9525">
                          <a:solidFill>
                            <a:srgbClr val="B90519"/>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ABB847" id="AutoShape 4" o:spid="_x0000_s1026" style="position:absolute;margin-left:207pt;margin-top:20.4pt;width:4in;height:1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" fillcolor="#891114" strokecolor="#b90519">
                <v:path arrowok="t"/>
              </v:roundrect>
            </w:pict>
          </mc:Fallback>
        </mc:AlternateContent>
      </w:r>
    </w:p>
    <w:p w14:paraId="57B8C84F" w14:textId="77777777" w:rsidR="000052F4" w:rsidRDefault="00EC136F" w:rsidP="000052F4">
      <w:pPr>
        <w:rPr>
          <w:rFonts w:ascii="Times New Roman" w:hAnsi="Times New Roman" w:cs="Times New Roman"/>
          <w:b/>
          <w:noProof/>
          <w:sz w:val="32"/>
          <w:szCs w:val="32"/>
        </w:rPr>
      </w:pPr>
      <w:r>
        <w:rPr>
          <w:noProof/>
        </w:rPr>
        <mc:AlternateContent>
          <mc:Choice Requires="wps">
            <w:drawing>
              <wp:anchor distT="0" distB="0" distL="114300" distR="114300" simplePos="0" relativeHeight="251661312" behindDoc="0" locked="0" layoutInCell="1" allowOverlap="1" wp14:anchorId="73734040" wp14:editId="2774BDAE">
                <wp:simplePos x="0" y="0"/>
                <wp:positionH relativeFrom="column">
                  <wp:posOffset>2628900</wp:posOffset>
                </wp:positionH>
                <wp:positionV relativeFrom="paragraph">
                  <wp:posOffset>123190</wp:posOffset>
                </wp:positionV>
                <wp:extent cx="3657600" cy="1257300"/>
                <wp:effectExtent l="0" t="0" r="0" b="0"/>
                <wp:wrapNone/>
                <wp:docPr id="7970756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576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4E39A" w14:textId="77777777" w:rsidR="00BD04D0" w:rsidRPr="00071EC1" w:rsidRDefault="00112670" w:rsidP="00BD04D0">
                            <w:pPr>
                              <w:jc w:val="center"/>
                              <w:rPr>
                                <w:rFonts w:ascii="Verdana" w:hAnsi="Verdana" w:cs="Times New Roman"/>
                                <w:b/>
                                <w:color w:val="FFFFFF"/>
                                <w:sz w:val="40"/>
                                <w:szCs w:val="40"/>
                                <w:lang w:eastAsia="en-US"/>
                              </w:rPr>
                            </w:pPr>
                            <w:r>
                              <w:rPr>
                                <w:rFonts w:ascii="Times New Roman" w:hAnsi="Times New Roman" w:cs="Times New Roman"/>
                                <w:sz w:val="24"/>
                                <w:szCs w:val="24"/>
                              </w:rPr>
                              <w:t xml:space="preserve"> </w:t>
                            </w:r>
                            <w:r w:rsidR="00E66D62">
                              <w:rPr>
                                <w:rFonts w:ascii="Verdana" w:hAnsi="Verdana" w:cs="Times New Roman"/>
                                <w:b/>
                                <w:color w:val="FFFFFF"/>
                                <w:sz w:val="40"/>
                                <w:szCs w:val="40"/>
                                <w:lang w:eastAsia="en-US"/>
                              </w:rPr>
                              <w:t>Cahier des clauses administratives particulières</w:t>
                            </w:r>
                          </w:p>
                          <w:p w14:paraId="42EC64DC" w14:textId="77777777" w:rsidR="00BD04D0" w:rsidRDefault="00BD04D0">
                            <w:pPr>
                              <w:rPr>
                                <w:rFonts w:cs="Times New Roman"/>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734040" id="Text Box 5" o:spid="_x0000_s1027" type="#_x0000_t202" style="position:absolute;margin-left:207pt;margin-top:9.7pt;width:4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" filled="f" stroked="f">
                <v:path arrowok="t"/>
                <v:textbox>
                  <w:txbxContent>
                    <w:p w14:paraId="3894E39A" w14:textId="77777777" w:rsidR="00BD04D0" w:rsidRPr="00071EC1" w:rsidRDefault="00112670" w:rsidP="00BD04D0">
                      <w:pPr>
                        <w:jc w:val="center"/>
                        <w:rPr>
                          <w:rFonts w:ascii="Verdana" w:hAnsi="Verdana" w:cs="Times New Roman"/>
                          <w:b/>
                          <w:color w:val="FFFFFF"/>
                          <w:sz w:val="40"/>
                          <w:szCs w:val="40"/>
                          <w:lang w:eastAsia="en-US"/>
                        </w:rPr>
                      </w:pPr>
                      <w:r>
                        <w:rPr>
                          <w:rFonts w:ascii="Times New Roman" w:hAnsi="Times New Roman" w:cs="Times New Roman"/>
                          <w:sz w:val="24"/>
                          <w:szCs w:val="24"/>
                        </w:rPr>
                        <w:t xml:space="preserve"> </w:t>
                      </w:r>
                      <w:r w:rsidR="00E66D62">
                        <w:rPr>
                          <w:rFonts w:ascii="Verdana" w:hAnsi="Verdana" w:cs="Times New Roman"/>
                          <w:b/>
                          <w:color w:val="FFFFFF"/>
                          <w:sz w:val="40"/>
                          <w:szCs w:val="40"/>
                          <w:lang w:eastAsia="en-US"/>
                        </w:rPr>
                        <w:t>Cahier des clauses administratives particulières</w:t>
                      </w:r>
                    </w:p>
                    <w:p w14:paraId="42EC64DC" w14:textId="77777777" w:rsidR="00BD04D0" w:rsidRDefault="00BD04D0">
                      <w:pPr>
                        <w:rPr>
                          <w:rFonts w:cs="Times New Roman"/>
                          <w:lang w:eastAsia="en-US"/>
                        </w:rPr>
                      </w:pPr>
                    </w:p>
                  </w:txbxContent>
                </v:textbox>
              </v:shape>
            </w:pict>
          </mc:Fallback>
        </mc:AlternateContent>
      </w:r>
    </w:p>
    <w:p w14:paraId="66E95CBB" w14:textId="77777777" w:rsidR="00BD04D0" w:rsidRDefault="00BD04D0" w:rsidP="000052F4">
      <w:pPr>
        <w:rPr>
          <w:rFonts w:ascii="Times New Roman" w:hAnsi="Times New Roman" w:cs="Times New Roman"/>
          <w:b/>
          <w:noProof/>
          <w:sz w:val="32"/>
          <w:szCs w:val="32"/>
        </w:rPr>
      </w:pPr>
    </w:p>
    <w:p w14:paraId="21977091" w14:textId="77777777" w:rsidR="00BD04D0" w:rsidRDefault="00BD04D0" w:rsidP="000052F4">
      <w:pPr>
        <w:rPr>
          <w:rFonts w:ascii="Times New Roman" w:hAnsi="Times New Roman" w:cs="Times New Roman"/>
          <w:b/>
          <w:noProof/>
          <w:sz w:val="32"/>
          <w:szCs w:val="32"/>
        </w:rPr>
      </w:pPr>
    </w:p>
    <w:p w14:paraId="49C61D1A" w14:textId="77777777" w:rsidR="00BD04D0" w:rsidRDefault="00BD04D0" w:rsidP="000052F4">
      <w:pPr>
        <w:rPr>
          <w:rFonts w:ascii="Times New Roman" w:hAnsi="Times New Roman" w:cs="Times New Roman"/>
          <w:b/>
          <w:noProof/>
          <w:sz w:val="32"/>
          <w:szCs w:val="32"/>
        </w:rPr>
      </w:pPr>
    </w:p>
    <w:p w14:paraId="505751A6" w14:textId="77777777" w:rsidR="00C359EF" w:rsidRDefault="00C359EF" w:rsidP="000052F4">
      <w:pPr>
        <w:rPr>
          <w:rFonts w:ascii="Times New Roman" w:hAnsi="Times New Roman" w:cs="Times New Roman"/>
          <w:b/>
          <w:noProof/>
          <w:sz w:val="32"/>
          <w:szCs w:val="32"/>
        </w:rPr>
      </w:pPr>
    </w:p>
    <w:p w14:paraId="40E43A07" w14:textId="77777777" w:rsidR="000052F4" w:rsidRDefault="00EC136F" w:rsidP="000052F4">
      <w:pPr>
        <w:rPr>
          <w:rFonts w:ascii="Times New Roman" w:hAnsi="Times New Roman" w:cs="Times New Roman"/>
          <w:b/>
          <w:noProof/>
          <w:sz w:val="32"/>
          <w:szCs w:val="32"/>
        </w:rPr>
      </w:pPr>
      <w:r>
        <w:rPr>
          <w:noProof/>
        </w:rPr>
        <mc:AlternateContent>
          <mc:Choice Requires="wps">
            <w:drawing>
              <wp:anchor distT="0" distB="0" distL="114300" distR="114300" simplePos="0" relativeHeight="251655168" behindDoc="0" locked="0" layoutInCell="1" allowOverlap="1" wp14:anchorId="449D7B60" wp14:editId="6892F06F">
                <wp:simplePos x="0" y="0"/>
                <wp:positionH relativeFrom="column">
                  <wp:posOffset>114300</wp:posOffset>
                </wp:positionH>
                <wp:positionV relativeFrom="paragraph">
                  <wp:posOffset>254635</wp:posOffset>
                </wp:positionV>
                <wp:extent cx="5715000" cy="457200"/>
                <wp:effectExtent l="0" t="0" r="0" b="0"/>
                <wp:wrapNone/>
                <wp:docPr id="62497398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57D94" w14:textId="77777777" w:rsidR="00BD04D0" w:rsidRPr="00047F1E" w:rsidRDefault="00112670" w:rsidP="007C6661">
                            <w:pPr>
                              <w:spacing w:before="8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 xml:space="preserve">Objet du marché </w:t>
                            </w:r>
                            <w:r w:rsidR="00E66D62">
                              <w:rPr>
                                <w:rFonts w:ascii="Verdana" w:hAnsi="Verdana" w:cs="Times New Roman"/>
                                <w:b/>
                                <w:sz w:val="24"/>
                                <w:szCs w:val="24"/>
                                <w:lang w:eastAsia="en-US"/>
                              </w:rPr>
                              <w:t>à tranches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D7B60" id="Text Box 6" o:spid="_x0000_s1028" type="#_x0000_t202" style="position:absolute;margin-left:9pt;margin-top:20.05pt;width:450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" filled="f" stroked="f">
                <v:path arrowok="t"/>
                <v:textbox>
                  <w:txbxContent>
                    <w:p w14:paraId="75157D94" w14:textId="77777777" w:rsidR="00BD04D0" w:rsidRPr="00047F1E" w:rsidRDefault="00112670" w:rsidP="007C6661">
                      <w:pPr>
                        <w:spacing w:before="8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 xml:space="preserve">Objet du marché </w:t>
                      </w:r>
                      <w:r w:rsidR="00E66D62">
                        <w:rPr>
                          <w:rFonts w:ascii="Verdana" w:hAnsi="Verdana" w:cs="Times New Roman"/>
                          <w:b/>
                          <w:sz w:val="24"/>
                          <w:szCs w:val="24"/>
                          <w:lang w:eastAsia="en-US"/>
                        </w:rPr>
                        <w:t>à tranches</w:t>
                      </w:r>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681EB501" wp14:editId="7D12C9AA">
                <wp:simplePos x="0" y="0"/>
                <wp:positionH relativeFrom="column">
                  <wp:posOffset>114300</wp:posOffset>
                </wp:positionH>
                <wp:positionV relativeFrom="paragraph">
                  <wp:posOffset>254635</wp:posOffset>
                </wp:positionV>
                <wp:extent cx="6057900" cy="342900"/>
                <wp:effectExtent l="12700" t="12700" r="0" b="0"/>
                <wp:wrapNone/>
                <wp:docPr id="57095339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AAAED6" id="AutoShape 7" o:spid="_x0000_s1026" style="position:absolute;margin-left:9pt;margin-top:20.05pt;width:477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" strokecolor="#891114" strokeweight="2.25pt">
                <v:path arrowok="t"/>
              </v:roundrect>
            </w:pict>
          </mc:Fallback>
        </mc:AlternateContent>
      </w:r>
    </w:p>
    <w:p w14:paraId="0E92E787" w14:textId="77777777" w:rsidR="00E52643" w:rsidRDefault="00E52643" w:rsidP="000052F4">
      <w:pPr>
        <w:rPr>
          <w:rFonts w:ascii="Times New Roman" w:hAnsi="Times New Roman" w:cs="Times New Roman"/>
          <w:b/>
          <w:noProof/>
          <w:sz w:val="32"/>
          <w:szCs w:val="32"/>
        </w:rPr>
      </w:pPr>
    </w:p>
    <w:p w14:paraId="34C8D65F" w14:textId="13459C9D" w:rsidR="00BD04D0" w:rsidRPr="00157268" w:rsidRDefault="00E66D62" w:rsidP="00157268">
      <w:pPr>
        <w:jc w:val="center"/>
        <w:rPr>
          <w:rFonts w:ascii="Verdana" w:hAnsi="Verdana" w:cs="Times New Roman"/>
          <w:b/>
          <w:sz w:val="32"/>
          <w:szCs w:val="32"/>
          <w:lang w:eastAsia="en-US"/>
        </w:rPr>
      </w:pPr>
      <w:r>
        <w:rPr>
          <w:rFonts w:ascii="Verdana" w:hAnsi="Verdana" w:cs="Times New Roman"/>
          <w:b/>
          <w:sz w:val="32"/>
          <w:szCs w:val="32"/>
          <w:lang w:eastAsia="en-US"/>
        </w:rPr>
        <w:t xml:space="preserve">Travaux de réaménagement de trottoirs rues Vatel, </w:t>
      </w:r>
      <w:r w:rsidR="009B4183">
        <w:rPr>
          <w:rFonts w:ascii="Verdana" w:hAnsi="Verdana" w:cs="Times New Roman"/>
          <w:b/>
          <w:sz w:val="32"/>
          <w:szCs w:val="32"/>
          <w:lang w:eastAsia="en-US"/>
        </w:rPr>
        <w:t>Docteur Schweitzer</w:t>
      </w:r>
      <w:r>
        <w:rPr>
          <w:rFonts w:ascii="Verdana" w:hAnsi="Verdana" w:cs="Times New Roman"/>
          <w:b/>
          <w:sz w:val="32"/>
          <w:szCs w:val="32"/>
          <w:lang w:eastAsia="en-US"/>
        </w:rPr>
        <w:t xml:space="preserve"> et Aristide Briand et création d</w:t>
      </w:r>
      <w:r w:rsidR="00EC136F">
        <w:rPr>
          <w:rFonts w:ascii="Verdana" w:hAnsi="Verdana" w:cs="Times New Roman"/>
          <w:b/>
          <w:sz w:val="32"/>
          <w:szCs w:val="32"/>
          <w:lang w:eastAsia="en-US"/>
        </w:rPr>
        <w:t>’</w:t>
      </w:r>
      <w:r>
        <w:rPr>
          <w:rFonts w:ascii="Verdana" w:hAnsi="Verdana" w:cs="Times New Roman"/>
          <w:b/>
          <w:sz w:val="32"/>
          <w:szCs w:val="32"/>
          <w:lang w:eastAsia="en-US"/>
        </w:rPr>
        <w:t>espaces de stationnement engazonnés rue Vatel.</w:t>
      </w:r>
    </w:p>
    <w:p w14:paraId="17D4DA6C" w14:textId="77777777" w:rsidR="00BD04D0" w:rsidRDefault="00BD04D0" w:rsidP="000052F4">
      <w:pPr>
        <w:rPr>
          <w:rFonts w:ascii="Times New Roman" w:hAnsi="Times New Roman" w:cs="Times New Roman"/>
          <w:b/>
          <w:noProof/>
          <w:sz w:val="32"/>
          <w:szCs w:val="32"/>
        </w:rPr>
      </w:pPr>
    </w:p>
    <w:p w14:paraId="5BCC27E4" w14:textId="77777777" w:rsidR="00111F8E" w:rsidRDefault="00111F8E">
      <w:pPr>
        <w:rPr>
          <w:rFonts w:ascii="Verdana" w:hAnsi="Verdana" w:cs="Times New Roman"/>
          <w:b/>
          <w:color w:val="800000"/>
          <w:lang w:eastAsia="en-US"/>
        </w:rPr>
      </w:pPr>
    </w:p>
    <w:p w14:paraId="42233AAF" w14:textId="77777777" w:rsidR="00BD04D0" w:rsidRDefault="00EC136F">
      <w:pPr>
        <w:rPr>
          <w:rFonts w:ascii="Verdana" w:hAnsi="Verdana" w:cs="Times New Roman"/>
          <w:b/>
          <w:color w:val="800000"/>
          <w:lang w:eastAsia="en-US"/>
        </w:rPr>
      </w:pPr>
      <w:r>
        <w:rPr>
          <w:noProof/>
        </w:rPr>
        <mc:AlternateContent>
          <mc:Choice Requires="wps">
            <w:drawing>
              <wp:anchor distT="0" distB="0" distL="114300" distR="114300" simplePos="0" relativeHeight="251657216" behindDoc="0" locked="0" layoutInCell="1" allowOverlap="1" wp14:anchorId="54CF8AF3" wp14:editId="3912606C">
                <wp:simplePos x="0" y="0"/>
                <wp:positionH relativeFrom="column">
                  <wp:posOffset>114300</wp:posOffset>
                </wp:positionH>
                <wp:positionV relativeFrom="paragraph">
                  <wp:posOffset>151130</wp:posOffset>
                </wp:positionV>
                <wp:extent cx="5715000" cy="342900"/>
                <wp:effectExtent l="0" t="0" r="0" b="0"/>
                <wp:wrapNone/>
                <wp:docPr id="191549576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15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0642B" w14:textId="77777777" w:rsidR="00BD04D0" w:rsidRPr="00047F1E" w:rsidRDefault="00112670" w:rsidP="007C6661">
                            <w:pPr>
                              <w:spacing w:before="6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Numéro de Marché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F8AF3" id="Text Box 8" o:spid="_x0000_s1029" type="#_x0000_t202" style="position:absolute;margin-left:9pt;margin-top:11.9pt;width:45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" filled="f" stroked="f">
                <v:path arrowok="t"/>
                <v:textbox>
                  <w:txbxContent>
                    <w:p w14:paraId="3C20642B" w14:textId="77777777" w:rsidR="00BD04D0" w:rsidRPr="00047F1E" w:rsidRDefault="00112670" w:rsidP="007C6661">
                      <w:pPr>
                        <w:spacing w:before="60"/>
                        <w:rPr>
                          <w:rFonts w:cs="Times New Roman"/>
                          <w:sz w:val="24"/>
                          <w:szCs w:val="24"/>
                          <w:lang w:eastAsia="en-US"/>
                        </w:rPr>
                      </w:pPr>
                      <w:r>
                        <w:rPr>
                          <w:rFonts w:ascii="Times New Roman" w:hAnsi="Times New Roman" w:cs="Times New Roman"/>
                          <w:sz w:val="24"/>
                          <w:szCs w:val="24"/>
                        </w:rPr>
                        <w:t xml:space="preserve"> </w:t>
                      </w:r>
                      <w:r w:rsidR="007B43C3">
                        <w:rPr>
                          <w:rFonts w:ascii="Verdana" w:hAnsi="Verdana" w:cs="Times New Roman"/>
                          <w:b/>
                          <w:sz w:val="24"/>
                          <w:szCs w:val="24"/>
                          <w:lang w:eastAsia="en-US"/>
                        </w:rPr>
                        <w:t>Numéro de Marché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1109E867" wp14:editId="442570BD">
                <wp:simplePos x="0" y="0"/>
                <wp:positionH relativeFrom="column">
                  <wp:posOffset>114300</wp:posOffset>
                </wp:positionH>
                <wp:positionV relativeFrom="paragraph">
                  <wp:posOffset>151130</wp:posOffset>
                </wp:positionV>
                <wp:extent cx="6057900" cy="342900"/>
                <wp:effectExtent l="12700" t="12700" r="0" b="0"/>
                <wp:wrapNone/>
                <wp:docPr id="72595508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900" cy="342900"/>
                        </a:xfrm>
                        <a:prstGeom prst="roundRect">
                          <a:avLst>
                            <a:gd name="adj" fmla="val 16667"/>
                          </a:avLst>
                        </a:prstGeom>
                        <a:solidFill>
                          <a:srgbClr val="FFFFFF"/>
                        </a:solidFill>
                        <a:ln w="28575">
                          <a:solidFill>
                            <a:srgbClr val="891114"/>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CC0B39" id="AutoShape 9" o:spid="_x0000_s1026" style="position:absolute;margin-left:9pt;margin-top:11.9pt;width:477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" strokecolor="#891114" strokeweight="2.25pt">
                <v:path arrowok="t"/>
              </v:roundrect>
            </w:pict>
          </mc:Fallback>
        </mc:AlternateContent>
      </w:r>
    </w:p>
    <w:p w14:paraId="5C8F11C8" w14:textId="77777777" w:rsidR="00071EC1" w:rsidRDefault="00071EC1">
      <w:pPr>
        <w:rPr>
          <w:rFonts w:ascii="Verdana" w:hAnsi="Verdana" w:cs="Times New Roman"/>
          <w:b/>
          <w:color w:val="800000"/>
          <w:lang w:eastAsia="en-US"/>
        </w:rPr>
      </w:pPr>
    </w:p>
    <w:p w14:paraId="77AA070F" w14:textId="77777777" w:rsidR="00E66D62" w:rsidRDefault="00E66D62" w:rsidP="007D453B">
      <w:pPr>
        <w:rPr>
          <w:rFonts w:ascii="Verdana" w:hAnsi="Verdana" w:cs="Times New Roman"/>
          <w:b/>
          <w:sz w:val="24"/>
          <w:szCs w:val="24"/>
          <w:lang w:eastAsia="en-US"/>
        </w:rPr>
      </w:pPr>
    </w:p>
    <w:p w14:paraId="50DDCFBF" w14:textId="77777777" w:rsidR="00D872B4" w:rsidRPr="007D453B" w:rsidRDefault="00E66D62" w:rsidP="007D453B">
      <w:pPr>
        <w:rPr>
          <w:rFonts w:ascii="Verdana" w:hAnsi="Verdana" w:cs="Times New Roman"/>
          <w:b/>
          <w:sz w:val="24"/>
          <w:szCs w:val="24"/>
          <w:lang w:eastAsia="en-US"/>
        </w:rPr>
      </w:pPr>
      <w:r>
        <w:rPr>
          <w:rFonts w:ascii="Verdana" w:hAnsi="Verdana" w:cs="Times New Roman"/>
          <w:b/>
          <w:sz w:val="24"/>
          <w:szCs w:val="24"/>
          <w:lang w:eastAsia="en-US"/>
        </w:rPr>
        <w:br w:type="page"/>
      </w:r>
    </w:p>
    <w:p w14:paraId="6877B19E"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bookmarkStart w:id="0" w:name="DEFINITION"/>
      <w:bookmarkEnd w:id="0"/>
      <w:r>
        <w:rPr>
          <w:rFonts w:ascii="Times New Roman" w:hAnsi="Times New Roman" w:cs="Times New Roman"/>
          <w:bCs/>
          <w:sz w:val="24"/>
          <w:szCs w:val="24"/>
        </w:rPr>
        <w:lastRenderedPageBreak/>
        <w:t>Article 1 – Définition des prestations</w:t>
      </w:r>
    </w:p>
    <w:p w14:paraId="52E5F56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stipulations du présent document concernent les prestations désignées ci-dessous :</w:t>
      </w:r>
    </w:p>
    <w:p w14:paraId="5B05608A" w14:textId="4383B756"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Travaux de réaménagement de trottoirs rues Vatel, </w:t>
      </w:r>
      <w:r w:rsidR="009B4183">
        <w:rPr>
          <w:rFonts w:ascii="Times New Roman" w:hAnsi="Times New Roman" w:cs="Times New Roman"/>
          <w:sz w:val="20"/>
          <w:szCs w:val="24"/>
        </w:rPr>
        <w:t>Docteur Schweitzer</w:t>
      </w:r>
      <w:r>
        <w:rPr>
          <w:rFonts w:ascii="Times New Roman" w:hAnsi="Times New Roman" w:cs="Times New Roman"/>
          <w:sz w:val="20"/>
          <w:szCs w:val="24"/>
        </w:rPr>
        <w:t xml:space="preserve"> et Aristide Briand et création d'espaces de stationnement engazonnés rue Vatel.</w:t>
      </w:r>
    </w:p>
    <w:p w14:paraId="78557754"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 – Forme du marché</w:t>
      </w:r>
    </w:p>
    <w:p w14:paraId="01CFD29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Marché à tranches optionnelles passé par un pouvoir adjudicateur.</w:t>
      </w:r>
      <w:bookmarkStart w:id="1" w:name="DECOMPOSITION"/>
      <w:bookmarkEnd w:id="1"/>
    </w:p>
    <w:p w14:paraId="1CCFD00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 – Décomposition des prestations</w:t>
      </w:r>
    </w:p>
    <w:p w14:paraId="6B6CE4E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prestations font l'objet de 2 tranches ainsi décrites :</w:t>
      </w:r>
    </w:p>
    <w:p w14:paraId="4B96578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61A86ED8" w14:textId="77777777" w:rsidR="00112670" w:rsidRDefault="00112670">
      <w:pPr>
        <w:autoSpaceDE w:val="0"/>
        <w:autoSpaceDN w:val="0"/>
        <w:adjustRightInd w:val="0"/>
        <w:spacing w:after="0" w:line="240" w:lineRule="auto"/>
        <w:jc w:val="both"/>
        <w:rPr>
          <w:rFonts w:ascii="Times New Roman" w:hAnsi="Times New Roman" w:cs="Times New Roman"/>
          <w:b/>
          <w:sz w:val="20"/>
          <w:szCs w:val="24"/>
        </w:rPr>
      </w:pPr>
      <w:r>
        <w:rPr>
          <w:rFonts w:ascii="Times New Roman" w:hAnsi="Times New Roman" w:cs="Times New Roman"/>
          <w:b/>
          <w:sz w:val="20"/>
          <w:szCs w:val="24"/>
        </w:rPr>
        <w:t>Rue Vatel (tranche ferme)</w:t>
      </w:r>
    </w:p>
    <w:p w14:paraId="15B13308" w14:textId="0F33ECD9" w:rsidR="00112670" w:rsidRDefault="00112670">
      <w:pPr>
        <w:autoSpaceDE w:val="0"/>
        <w:autoSpaceDN w:val="0"/>
        <w:adjustRightInd w:val="0"/>
        <w:spacing w:after="0" w:line="240" w:lineRule="auto"/>
        <w:jc w:val="both"/>
        <w:rPr>
          <w:rFonts w:ascii="Times New Roman" w:hAnsi="Times New Roman" w:cs="Times New Roman"/>
          <w:b/>
          <w:sz w:val="20"/>
          <w:szCs w:val="24"/>
        </w:rPr>
      </w:pPr>
      <w:r>
        <w:rPr>
          <w:rFonts w:ascii="Times New Roman" w:hAnsi="Times New Roman" w:cs="Times New Roman"/>
          <w:b/>
          <w:sz w:val="20"/>
          <w:szCs w:val="24"/>
        </w:rPr>
        <w:t xml:space="preserve">Rues </w:t>
      </w:r>
      <w:r w:rsidR="009B4183">
        <w:rPr>
          <w:rFonts w:ascii="Times New Roman" w:hAnsi="Times New Roman" w:cs="Times New Roman"/>
          <w:b/>
          <w:sz w:val="20"/>
          <w:szCs w:val="24"/>
        </w:rPr>
        <w:t>Docteur Schweitzer</w:t>
      </w:r>
      <w:r>
        <w:rPr>
          <w:rFonts w:ascii="Times New Roman" w:hAnsi="Times New Roman" w:cs="Times New Roman"/>
          <w:b/>
          <w:sz w:val="20"/>
          <w:szCs w:val="24"/>
        </w:rPr>
        <w:t xml:space="preserve"> et Briand (tranche optionnelle)</w:t>
      </w:r>
    </w:p>
    <w:p w14:paraId="49FF7639" w14:textId="0988AFDE"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délai d'affermissement de 2 ans de la tranche Rues </w:t>
      </w:r>
      <w:r w:rsidR="009B4183">
        <w:rPr>
          <w:rFonts w:ascii="Times New Roman" w:hAnsi="Times New Roman" w:cs="Times New Roman"/>
          <w:sz w:val="20"/>
          <w:szCs w:val="24"/>
        </w:rPr>
        <w:t>Docteur Schweitzer</w:t>
      </w:r>
      <w:r>
        <w:rPr>
          <w:rFonts w:ascii="Times New Roman" w:hAnsi="Times New Roman" w:cs="Times New Roman"/>
          <w:sz w:val="20"/>
          <w:szCs w:val="24"/>
        </w:rPr>
        <w:t xml:space="preserve"> et Briand a pour point de départ : Réception de la Tranche Ferme.</w:t>
      </w:r>
      <w:bookmarkStart w:id="2" w:name="DUREE"/>
      <w:bookmarkEnd w:id="2"/>
    </w:p>
    <w:p w14:paraId="68674B03"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4 – Durée du marché </w:t>
      </w:r>
    </w:p>
    <w:p w14:paraId="5DB597E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durée du marché correspond au délai d'exécution de la tranche ferme et aux délais d'exécution des tranches optionnelles affermies.</w:t>
      </w:r>
    </w:p>
    <w:p w14:paraId="1A91E67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durée du marché se confond avec le délai d'exécution du marché, c'est à dire la période de préparation suivi du délai d'exécution des travaux.</w:t>
      </w:r>
      <w:bookmarkStart w:id="3" w:name="DELAI"/>
      <w:bookmarkEnd w:id="3"/>
    </w:p>
    <w:p w14:paraId="6A424F3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5 – Délai d'exécution des travaux </w:t>
      </w:r>
    </w:p>
    <w:p w14:paraId="0CE707B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w:t>
      </w:r>
      <w:r>
        <w:rPr>
          <w:rFonts w:ascii="Times New Roman" w:hAnsi="Times New Roman" w:cs="Times New Roman"/>
          <w:b/>
          <w:sz w:val="20"/>
          <w:szCs w:val="24"/>
        </w:rPr>
        <w:t>tranche Rue Vatel</w:t>
      </w:r>
      <w:r>
        <w:rPr>
          <w:rFonts w:ascii="Times New Roman" w:hAnsi="Times New Roman" w:cs="Times New Roman"/>
          <w:sz w:val="20"/>
          <w:szCs w:val="24"/>
        </w:rPr>
        <w:t xml:space="preserve"> commence à compter de la date indiquée sur l'ordre de service.</w:t>
      </w:r>
    </w:p>
    <w:p w14:paraId="161EE90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Son délai d'exécution est de 30 jours </w:t>
      </w:r>
      <w:proofErr w:type="gramStart"/>
      <w:r>
        <w:rPr>
          <w:rFonts w:ascii="Times New Roman" w:hAnsi="Times New Roman" w:cs="Times New Roman"/>
          <w:sz w:val="20"/>
          <w:szCs w:val="24"/>
        </w:rPr>
        <w:t>ouvrés</w:t>
      </w:r>
      <w:proofErr w:type="gramEnd"/>
      <w:r>
        <w:rPr>
          <w:rFonts w:ascii="Times New Roman" w:hAnsi="Times New Roman" w:cs="Times New Roman"/>
          <w:sz w:val="20"/>
          <w:szCs w:val="24"/>
        </w:rPr>
        <w:t>.</w:t>
      </w:r>
    </w:p>
    <w:p w14:paraId="3ADF195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1BDD2B34" w14:textId="437543AB"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La </w:t>
      </w:r>
      <w:r>
        <w:rPr>
          <w:rFonts w:ascii="Times New Roman" w:hAnsi="Times New Roman" w:cs="Times New Roman"/>
          <w:b/>
          <w:sz w:val="20"/>
          <w:szCs w:val="24"/>
        </w:rPr>
        <w:t xml:space="preserve">tranche Rues </w:t>
      </w:r>
      <w:r w:rsidR="009B4183">
        <w:rPr>
          <w:rFonts w:ascii="Times New Roman" w:hAnsi="Times New Roman" w:cs="Times New Roman"/>
          <w:b/>
          <w:sz w:val="20"/>
          <w:szCs w:val="24"/>
        </w:rPr>
        <w:t>Docteur Schweitzer</w:t>
      </w:r>
      <w:r>
        <w:rPr>
          <w:rFonts w:ascii="Times New Roman" w:hAnsi="Times New Roman" w:cs="Times New Roman"/>
          <w:b/>
          <w:sz w:val="20"/>
          <w:szCs w:val="24"/>
        </w:rPr>
        <w:t xml:space="preserve"> et Briand</w:t>
      </w:r>
      <w:r>
        <w:rPr>
          <w:rFonts w:ascii="Times New Roman" w:hAnsi="Times New Roman" w:cs="Times New Roman"/>
          <w:sz w:val="20"/>
          <w:szCs w:val="24"/>
        </w:rPr>
        <w:t xml:space="preserve"> commence à compter de la date indiquée sur l'ordre de service.</w:t>
      </w:r>
    </w:p>
    <w:p w14:paraId="0ECF2DA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Son délai d'exécution est de 40 jours </w:t>
      </w:r>
      <w:proofErr w:type="gramStart"/>
      <w:r>
        <w:rPr>
          <w:rFonts w:ascii="Times New Roman" w:hAnsi="Times New Roman" w:cs="Times New Roman"/>
          <w:sz w:val="20"/>
          <w:szCs w:val="24"/>
        </w:rPr>
        <w:t>ouvrés</w:t>
      </w:r>
      <w:proofErr w:type="gramEnd"/>
      <w:r>
        <w:rPr>
          <w:rFonts w:ascii="Times New Roman" w:hAnsi="Times New Roman" w:cs="Times New Roman"/>
          <w:sz w:val="20"/>
          <w:szCs w:val="24"/>
        </w:rPr>
        <w:t>.</w:t>
      </w:r>
    </w:p>
    <w:p w14:paraId="3D1634C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17F2C3F5" w14:textId="354E17AB"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délai d'affermissement de 2 ans de la tranche Rues </w:t>
      </w:r>
      <w:r w:rsidR="009B4183">
        <w:rPr>
          <w:rFonts w:ascii="Times New Roman" w:hAnsi="Times New Roman" w:cs="Times New Roman"/>
          <w:sz w:val="20"/>
          <w:szCs w:val="24"/>
        </w:rPr>
        <w:t>Docteur Schweitzer</w:t>
      </w:r>
      <w:r>
        <w:rPr>
          <w:rFonts w:ascii="Times New Roman" w:hAnsi="Times New Roman" w:cs="Times New Roman"/>
          <w:sz w:val="20"/>
          <w:szCs w:val="24"/>
        </w:rPr>
        <w:t xml:space="preserve"> et Briand a pour point de départ : Réception de la Tranche Ferme.</w:t>
      </w:r>
      <w:bookmarkStart w:id="4" w:name="PCONTRAT"/>
      <w:bookmarkEnd w:id="4"/>
    </w:p>
    <w:p w14:paraId="57543A6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6 – Documents contractuels</w:t>
      </w:r>
    </w:p>
    <w:p w14:paraId="5552A98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pièces constitutives du marché sont les suivantes, listées par ordre de priorité décroissant.</w:t>
      </w:r>
    </w:p>
    <w:p w14:paraId="5F3DE3B9" w14:textId="77777777" w:rsidR="00112670" w:rsidRDefault="00112670" w:rsidP="00EC136F">
      <w:pPr>
        <w:numPr>
          <w:ilvl w:val="0"/>
          <w:numId w:val="1"/>
        </w:numPr>
        <w:autoSpaceDE w:val="0"/>
        <w:autoSpaceDN w:val="0"/>
        <w:adjustRightInd w:val="0"/>
        <w:spacing w:before="100"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L'acte d'engagement et ses éventuelles annexes</w:t>
      </w:r>
    </w:p>
    <w:p w14:paraId="645627F1"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administratives particulières (CCAP)</w:t>
      </w:r>
    </w:p>
    <w:p w14:paraId="58472C6E"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administratives générales – travaux (CCAG –Travaux) approuvé par arrêté du 30 mars 2021 et publié au JO du 1er avril 2021</w:t>
      </w:r>
    </w:p>
    <w:p w14:paraId="3D8056AC"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bordereau des prix unitaires (BPU)</w:t>
      </w:r>
    </w:p>
    <w:p w14:paraId="7F89CEBC"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programme d'exécution des travaux</w:t>
      </w:r>
    </w:p>
    <w:p w14:paraId="64CD02B9"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cahier des clauses techniques particulières (CCTP)</w:t>
      </w:r>
    </w:p>
    <w:p w14:paraId="27EE59EF"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devis descriptif et estimatif détaillé</w:t>
      </w:r>
    </w:p>
    <w:p w14:paraId="7DFD00C9"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Cahier des Clauses Techniques Générales - Travaux (CCTG-</w:t>
      </w:r>
      <w:proofErr w:type="spellStart"/>
      <w:r>
        <w:rPr>
          <w:rFonts w:ascii="Times New Roman" w:hAnsi="Times New Roman" w:cs="Times New Roman"/>
          <w:sz w:val="20"/>
          <w:szCs w:val="24"/>
        </w:rPr>
        <w:t>Tvx</w:t>
      </w:r>
      <w:proofErr w:type="spellEnd"/>
      <w:r>
        <w:rPr>
          <w:rFonts w:ascii="Times New Roman" w:hAnsi="Times New Roman" w:cs="Times New Roman"/>
          <w:sz w:val="20"/>
          <w:szCs w:val="24"/>
        </w:rPr>
        <w:t>)</w:t>
      </w:r>
    </w:p>
    <w:p w14:paraId="6E140C7D"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tableau donnant la répartition des travaux entre les membres du groupement</w:t>
      </w:r>
    </w:p>
    <w:p w14:paraId="122FFFCA"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r>
        <w:rPr>
          <w:rFonts w:ascii="Times New Roman" w:hAnsi="Times New Roman" w:cs="Times New Roman"/>
          <w:sz w:val="20"/>
          <w:szCs w:val="24"/>
        </w:rPr>
        <w:t>Le mémoire justificatif</w:t>
      </w:r>
    </w:p>
    <w:p w14:paraId="56749CE8"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bookmarkStart w:id="5" w:name="PRIX"/>
      <w:bookmarkStart w:id="6" w:name="PRIXTYPE"/>
      <w:bookmarkEnd w:id="5"/>
      <w:bookmarkEnd w:id="6"/>
      <w:r>
        <w:rPr>
          <w:rFonts w:ascii="Times New Roman" w:hAnsi="Times New Roman" w:cs="Times New Roman"/>
          <w:bCs/>
          <w:sz w:val="24"/>
          <w:szCs w:val="24"/>
        </w:rPr>
        <w:t>Article 7 – Type de prix</w:t>
      </w:r>
    </w:p>
    <w:p w14:paraId="52B456C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prestations sont traitées à prix unitaires.</w:t>
      </w:r>
    </w:p>
    <w:p w14:paraId="6B72231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14B889B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unitaires du bordereau de prix sont appliqués aux quantités réellement exécutées.</w:t>
      </w:r>
      <w:bookmarkStart w:id="7" w:name="PRIXVAR"/>
      <w:bookmarkEnd w:id="7"/>
    </w:p>
    <w:p w14:paraId="0688D8A0"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lastRenderedPageBreak/>
        <w:t>Article 8 – Modalités de variation du prix</w:t>
      </w:r>
    </w:p>
    <w:p w14:paraId="4AEB381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fermes et actualisables.</w:t>
      </w:r>
    </w:p>
    <w:p w14:paraId="3CD456A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L'index I de la formule d'actualisation est l'index de référence : TP08 - Travaux d'aménagement et entretien de voirie en zones rurale et urbaine (1710996) - Base 2010 publié au Insee.</w:t>
      </w:r>
    </w:p>
    <w:p w14:paraId="390DEFC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66B4A9B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prix actualisé est obtenu en appliquant au prix initial le coefficient </w:t>
      </w:r>
      <w:proofErr w:type="spellStart"/>
      <w:r>
        <w:rPr>
          <w:rFonts w:ascii="Times New Roman" w:hAnsi="Times New Roman" w:cs="Times New Roman"/>
          <w:sz w:val="20"/>
          <w:szCs w:val="24"/>
        </w:rPr>
        <w:t>Cn</w:t>
      </w:r>
      <w:proofErr w:type="spellEnd"/>
      <w:r>
        <w:rPr>
          <w:rFonts w:ascii="Times New Roman" w:hAnsi="Times New Roman" w:cs="Times New Roman"/>
          <w:sz w:val="20"/>
          <w:szCs w:val="24"/>
        </w:rPr>
        <w:t xml:space="preserve"> résultant de la formule </w:t>
      </w:r>
      <w:proofErr w:type="gramStart"/>
      <w:r>
        <w:rPr>
          <w:rFonts w:ascii="Times New Roman" w:hAnsi="Times New Roman" w:cs="Times New Roman"/>
          <w:sz w:val="20"/>
          <w:szCs w:val="24"/>
        </w:rPr>
        <w:t>suivante:</w:t>
      </w:r>
      <w:proofErr w:type="gramEnd"/>
    </w:p>
    <w:p w14:paraId="3BDEC39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roofErr w:type="spellStart"/>
      <w:r>
        <w:rPr>
          <w:rFonts w:ascii="Times New Roman" w:hAnsi="Times New Roman" w:cs="Times New Roman"/>
          <w:sz w:val="20"/>
          <w:szCs w:val="24"/>
        </w:rPr>
        <w:t>Cn</w:t>
      </w:r>
      <w:proofErr w:type="spellEnd"/>
      <w:r>
        <w:rPr>
          <w:rFonts w:ascii="Times New Roman" w:hAnsi="Times New Roman" w:cs="Times New Roman"/>
          <w:sz w:val="20"/>
          <w:szCs w:val="24"/>
        </w:rPr>
        <w:t xml:space="preserve"> = I(d-</w:t>
      </w:r>
      <w:proofErr w:type="gramStart"/>
      <w:r>
        <w:rPr>
          <w:rFonts w:ascii="Times New Roman" w:hAnsi="Times New Roman" w:cs="Times New Roman"/>
          <w:sz w:val="20"/>
          <w:szCs w:val="24"/>
        </w:rPr>
        <w:t>3)/</w:t>
      </w:r>
      <w:proofErr w:type="gramEnd"/>
      <w:r>
        <w:rPr>
          <w:rFonts w:ascii="Times New Roman" w:hAnsi="Times New Roman" w:cs="Times New Roman"/>
          <w:sz w:val="20"/>
          <w:szCs w:val="24"/>
        </w:rPr>
        <w:t>Io</w:t>
      </w:r>
    </w:p>
    <w:p w14:paraId="6C016A7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 (d-3) est la valeur de l'indice établie à une date antérieure de trois mois à la date de commencement d'exécution des prestations de la tranche ferme, ou de la tranche optionnelle affermie.</w:t>
      </w:r>
    </w:p>
    <w:p w14:paraId="0D5E3A7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Io est la valeur de l'indice établie pour le mois d'établissement du prix.</w:t>
      </w:r>
    </w:p>
    <w:p w14:paraId="72F4A10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Pour chacune des tranches, l'actualisation est appliquée si un délai supérieur à trois mois s'écoule entre le mois d'établissement du prix et la date de commencement d'exécution des prestations de la tranche.</w:t>
      </w:r>
    </w:p>
    <w:p w14:paraId="2DD3125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15736A7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coefficient résultant du calcul de la formule d'actualisation est arrondi au millième supérieur.</w:t>
      </w:r>
      <w:bookmarkStart w:id="8" w:name="MZERO"/>
      <w:bookmarkEnd w:id="8"/>
    </w:p>
    <w:p w14:paraId="07C78543"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9 - Mois d'établissement des prix du marché</w:t>
      </w:r>
    </w:p>
    <w:p w14:paraId="0C5019C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réputés établis aux conditions économiques du mois correspondant à la date à laquelle l'offre a été remise par le titulaire, conformément au CCAG.</w:t>
      </w:r>
    </w:p>
    <w:p w14:paraId="77F8E6B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 mois est appelé mois zéro (M0).</w:t>
      </w:r>
    </w:p>
    <w:p w14:paraId="22B7E003"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10 – Contenu des prix</w:t>
      </w:r>
    </w:p>
    <w:p w14:paraId="03198B5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sont réputés complets.</w:t>
      </w:r>
    </w:p>
    <w:p w14:paraId="0604321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Ils comprennent notamment toutes les charges fiscales, parafiscales, ou autres frappant obligatoirement la prestation.</w:t>
      </w:r>
    </w:p>
    <w:p w14:paraId="6A01BAB9"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10.1 – Modalités d'établissement des prix</w:t>
      </w:r>
    </w:p>
    <w:p w14:paraId="5F65486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prix du marché sont hors T.V.A. et tiennent compte des éventuelles sujétions techniques précisées dans les documents techniques.</w:t>
      </w:r>
    </w:p>
    <w:p w14:paraId="4B9775FA"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10.2 – Prestations fournies à l'entrepreneur</w:t>
      </w:r>
    </w:p>
    <w:p w14:paraId="0C95DA8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Aucune prestation ne sera fournie gratuitement au titulaire.</w:t>
      </w:r>
    </w:p>
    <w:p w14:paraId="6BEC42CE"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11 – Intempéries prolongeant le délai</w:t>
      </w:r>
    </w:p>
    <w:p w14:paraId="61CBBEA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18.2.3 alinéa 1 du CCAG-Travaux et à l'article L.5424-9 du code du travail, les intempéries, entraînant un arrêt de travail sur les chantiers, donnent lieu à une prolongation du délai d'exécution du nombre de jours correspondant à cet arrêt, diminué du nombre de jours d'intempéries prévisibles fixés éventuellement par le présent marché.</w:t>
      </w:r>
    </w:p>
    <w:p w14:paraId="605E53E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L.5424-8 du code du travail sont considérées comme intempéries les conditions atmosphériques et les inondations lorsqu'elles rendent effectivement l'accomplissement du travail dangereux ou impossible à l'égard, soit de la santé ou de la sécurité des travailleurs ou de la technique du travail à accomplir.</w:t>
      </w:r>
    </w:p>
    <w:p w14:paraId="1DC59E1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C'est ainsi que le gel, le verglas, la pluie, la neige, les inondations et le grand vent ne sont des intempéries au sens de la loi que dans le cas où elles rendent réellement tout travail impossible ou dangereux et où elles provoquent sur le chantier même, un arrêt de travail imprévisible et inévitable.</w:t>
      </w:r>
    </w:p>
    <w:p w14:paraId="414E6B5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Pour décider d'un arrêt de travail du chantier, l'entrepreneur doit préalablement informer de son intention d'arrêt le représentant du maître d'ouvrage. Celui-ci en vertu de l'article L.5424-9 du Code du travail peut s'opposer à l'arrêt du travail.</w:t>
      </w:r>
    </w:p>
    <w:p w14:paraId="7877B42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Un procès-verbal de constatation d'arrêt du travail pour intempéries est </w:t>
      </w:r>
      <w:proofErr w:type="gramStart"/>
      <w:r>
        <w:rPr>
          <w:rFonts w:ascii="Times New Roman" w:hAnsi="Times New Roman" w:cs="Times New Roman"/>
          <w:sz w:val="20"/>
          <w:szCs w:val="24"/>
        </w:rPr>
        <w:t>établie</w:t>
      </w:r>
      <w:proofErr w:type="gramEnd"/>
      <w:r>
        <w:rPr>
          <w:rFonts w:ascii="Times New Roman" w:hAnsi="Times New Roman" w:cs="Times New Roman"/>
          <w:sz w:val="20"/>
          <w:szCs w:val="24"/>
        </w:rPr>
        <w:t xml:space="preserve"> par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ou à défaut par le représentant du maître d'ouvrage.</w:t>
      </w:r>
    </w:p>
    <w:p w14:paraId="2348139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 la règle ci-dessus n'est pas observée, les journées d'intempéries ne seront pas comptabilisées dans le décompte général du délai d'exécution.</w:t>
      </w:r>
    </w:p>
    <w:p w14:paraId="1F2366D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décompte des journées d'arrêt pour intempéries sera consigné chaque semaine sur le procès-verbal de chantier.</w:t>
      </w:r>
    </w:p>
    <w:p w14:paraId="2C2CEC5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5272D1B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Aucun jour d'intempéries n'est réputé prévisible au titre de l'exécution du présent marché.</w:t>
      </w:r>
      <w:bookmarkStart w:id="9" w:name="PREPARATION"/>
      <w:bookmarkEnd w:id="9"/>
    </w:p>
    <w:p w14:paraId="19E34D38"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12 – Période de préparation </w:t>
      </w:r>
    </w:p>
    <w:p w14:paraId="40160F9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lastRenderedPageBreak/>
        <w:t>Par dérogation à l'article 28.1 du CCAG-Travaux, il est fixé une période de préparation de 30 jours. Un ordre de service précise la date à partir de laquelle démarre la période de préparation.</w:t>
      </w:r>
    </w:p>
    <w:p w14:paraId="29621C0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Un ordre de service précise la date de démarrage de l'exécution des travaux.</w:t>
      </w:r>
    </w:p>
    <w:p w14:paraId="33DA2D8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54109C7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1C4F123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i/>
          <w:sz w:val="20"/>
          <w:szCs w:val="24"/>
        </w:rPr>
        <w:t>Tâches à réaliser par le titulaire pendant la période de préparation</w:t>
      </w:r>
      <w:r>
        <w:rPr>
          <w:rFonts w:ascii="Times New Roman" w:hAnsi="Times New Roman" w:cs="Times New Roman"/>
          <w:sz w:val="20"/>
          <w:szCs w:val="24"/>
        </w:rPr>
        <w:t xml:space="preserve"> </w:t>
      </w:r>
    </w:p>
    <w:p w14:paraId="207B90E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Celles-ci sont décrites dans les </w:t>
      </w:r>
      <w:proofErr w:type="spellStart"/>
      <w:r>
        <w:rPr>
          <w:rFonts w:ascii="Times New Roman" w:hAnsi="Times New Roman" w:cs="Times New Roman"/>
          <w:sz w:val="20"/>
          <w:szCs w:val="24"/>
        </w:rPr>
        <w:t>piéces</w:t>
      </w:r>
      <w:proofErr w:type="spellEnd"/>
      <w:r>
        <w:rPr>
          <w:rFonts w:ascii="Times New Roman" w:hAnsi="Times New Roman" w:cs="Times New Roman"/>
          <w:sz w:val="20"/>
          <w:szCs w:val="24"/>
        </w:rPr>
        <w:t xml:space="preserve"> techniques du marché.</w:t>
      </w:r>
      <w:bookmarkStart w:id="10" w:name="PROG"/>
      <w:bookmarkEnd w:id="10"/>
    </w:p>
    <w:p w14:paraId="3F734A48"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13 – Programme d'exécution </w:t>
      </w:r>
    </w:p>
    <w:p w14:paraId="44F58DD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doit dresser un programme d'exécution.</w:t>
      </w:r>
    </w:p>
    <w:p w14:paraId="1B502BB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28.2.1 du CCAG-Travaux, le programme d'exécution des travaux précise notamment les matériels et les méthodes qui seront utilisés et le calendrier d'exécution des travaux précisant la date de démarrage des travaux et leur durée d'exécution. Le projet des installations de chantier et des ouvrages provisoires est annexé à ce programme.</w:t>
      </w:r>
    </w:p>
    <w:p w14:paraId="6DAA739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le soumet au visa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avec copie adressée au maître d'ouvrage, au moins quinze jours avant l'expiration de la période de préparation.</w:t>
      </w:r>
    </w:p>
    <w:p w14:paraId="3F21F6D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14 – Maîtrise d'</w:t>
      </w:r>
      <w:proofErr w:type="spellStart"/>
      <w:r>
        <w:rPr>
          <w:rFonts w:ascii="Times New Roman" w:hAnsi="Times New Roman" w:cs="Times New Roman"/>
          <w:bCs/>
          <w:sz w:val="24"/>
          <w:szCs w:val="24"/>
        </w:rPr>
        <w:t>oeuvre</w:t>
      </w:r>
      <w:proofErr w:type="spellEnd"/>
    </w:p>
    <w:p w14:paraId="1508A2B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mission de maîtrise d'œuvre relève du livre IV du code de la commande publique.</w:t>
      </w:r>
    </w:p>
    <w:p w14:paraId="0756972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maîtrise d'œuvre privée est assurée par :</w:t>
      </w:r>
    </w:p>
    <w:p w14:paraId="1FF0884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ACP</w:t>
      </w:r>
    </w:p>
    <w:p w14:paraId="69A8197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61TER RUE SAINT JOSEPH</w:t>
      </w:r>
    </w:p>
    <w:p w14:paraId="70E549E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60200 COMPIEGNE,</w:t>
      </w:r>
    </w:p>
    <w:p w14:paraId="27524B0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Personne physique représentant la maîtrise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 M TROUX Didier</w:t>
      </w:r>
    </w:p>
    <w:p w14:paraId="1B148F3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7EC7757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contenu des missions de la maîtrise d'œuvre est le suivant :</w:t>
      </w:r>
    </w:p>
    <w:p w14:paraId="44F153E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Missions de base</w:t>
      </w:r>
    </w:p>
    <w:p w14:paraId="792DB03E"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15 – Contrôle technique</w:t>
      </w:r>
    </w:p>
    <w:p w14:paraId="68CF321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travaux ne sont pas soumis à l'obligation de contrôle technique prévue par la loi du 4 janvier 1978 relative à l'assurance construction.</w:t>
      </w:r>
    </w:p>
    <w:p w14:paraId="6FC2321D"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16 – Provenance des matériaux et produits</w:t>
      </w:r>
    </w:p>
    <w:p w14:paraId="0809697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est tenu de mettre à la disposition du maître d'œuvre les documents qui assurent la traçabilité des produits et matériaux mis en œuvre.</w:t>
      </w:r>
      <w:bookmarkStart w:id="11" w:name="PIQ"/>
      <w:bookmarkEnd w:id="11"/>
    </w:p>
    <w:p w14:paraId="6C20AA10"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17 – Piquetage spécial des ouvrages souterrains, enterrés, subaquatiques ou aériens</w:t>
      </w:r>
    </w:p>
    <w:p w14:paraId="3C2916D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piquetage des réseaux enterrés en présence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et des concessionnaires sera réalisé. L'entrepreneur se chargera d'organiser la réunion avec les concessionnaires concernés en fonction du retour des </w:t>
      </w:r>
      <w:proofErr w:type="spellStart"/>
      <w:r>
        <w:rPr>
          <w:rFonts w:ascii="Times New Roman" w:hAnsi="Times New Roman" w:cs="Times New Roman"/>
          <w:sz w:val="20"/>
          <w:szCs w:val="24"/>
        </w:rPr>
        <w:t>dICT.</w:t>
      </w:r>
      <w:bookmarkStart w:id="12" w:name="AJOURNEMENT"/>
      <w:bookmarkEnd w:id="12"/>
      <w:proofErr w:type="spellEnd"/>
    </w:p>
    <w:p w14:paraId="0F5EB0E5"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17.1 – Ajournement des travaux pour découverte de réseaux enterrés sensibles pour la sécurité</w:t>
      </w:r>
    </w:p>
    <w:p w14:paraId="3EB4F2C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 des ouvrages enterrés sont découverts durant l'exécution des travaux, l'entreprise chargée des travaux en informe par écrit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w:t>
      </w:r>
    </w:p>
    <w:p w14:paraId="3ED3390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L'arrêt de chantier est possible à l'initiative de l'entreprise si des ouvrages non cartographiés sont découverts après la signature du marché ou de la commande ou en cas de différence notable entre l'état du sous-sol constaté et les informations portées à la connaissance de l'entreprise et si ces ouvrages sont susceptibles d'être sensibles pour la sécurité (</w:t>
      </w:r>
      <w:proofErr w:type="spellStart"/>
      <w:r>
        <w:rPr>
          <w:rFonts w:ascii="Times New Roman" w:hAnsi="Times New Roman" w:cs="Times New Roman"/>
          <w:sz w:val="20"/>
          <w:szCs w:val="24"/>
        </w:rPr>
        <w:t>cf</w:t>
      </w:r>
      <w:proofErr w:type="spellEnd"/>
      <w:r>
        <w:rPr>
          <w:rFonts w:ascii="Times New Roman" w:hAnsi="Times New Roman" w:cs="Times New Roman"/>
          <w:sz w:val="20"/>
          <w:szCs w:val="24"/>
        </w:rPr>
        <w:t xml:space="preserve"> art R552-2 du Code de l'environnement). L'entreprise en informe par écrit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et peut surseoir aux travaux jusqu'à décision écrite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sur les mesures à prendre.</w:t>
      </w:r>
    </w:p>
    <w:p w14:paraId="483F8ED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L'entreprise chargée des travaux ne subit pas de préjudice en cas d'arrêt de travaux justifié par une des situations décrites ci-dessus, ou par la découverte ou l'endommagement accidentel d'un branchement non localisé et non doté d'affleurant visible depuis le domaine public ou d'un tronçon d'ouvrage, sensible ou non sensible pour la sécurité, dont la position exacte s'écarterait des données de localisation qui ont été fournies à l'entreprise chargée des travaux </w:t>
      </w:r>
      <w:r>
        <w:rPr>
          <w:rFonts w:ascii="Times New Roman" w:hAnsi="Times New Roman" w:cs="Times New Roman"/>
          <w:sz w:val="20"/>
          <w:szCs w:val="24"/>
        </w:rPr>
        <w:lastRenderedPageBreak/>
        <w:t>par son exploitant de plus de 1,5 mètre, ou d'une distance supérieure à l'incertitude maximale liée à la classe de précision indiquée par ce dernier.</w:t>
      </w:r>
    </w:p>
    <w:p w14:paraId="4958C5D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Un constat contradictoire d'arrêt de chantier est établi entre l'entreprise et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De même, un constat contradictoire est établi entre l'entreprise et l'exploitant du réseau en cas d'endommagement de celui-ci. Il appartient au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de décider de la reprise des travaux lorsque les conditions de sécurité seront à nouveau réunies.</w:t>
      </w:r>
    </w:p>
    <w:p w14:paraId="6DABD31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L'entreprise chargée des travaux ne peut réclamer d'indemnisation correspondant aux ajournements.</w:t>
      </w:r>
      <w:bookmarkStart w:id="13" w:name="PLANSEXE"/>
      <w:bookmarkEnd w:id="13"/>
    </w:p>
    <w:p w14:paraId="73CD82A6"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18 – Plans d'exécution - Notes de calcul - </w:t>
      </w:r>
      <w:proofErr w:type="spellStart"/>
      <w:r>
        <w:rPr>
          <w:rFonts w:ascii="Times New Roman" w:hAnsi="Times New Roman" w:cs="Times New Roman"/>
          <w:bCs/>
          <w:sz w:val="24"/>
          <w:szCs w:val="24"/>
        </w:rPr>
        <w:t>Etudes</w:t>
      </w:r>
      <w:proofErr w:type="spellEnd"/>
      <w:r>
        <w:rPr>
          <w:rFonts w:ascii="Times New Roman" w:hAnsi="Times New Roman" w:cs="Times New Roman"/>
          <w:bCs/>
          <w:sz w:val="24"/>
          <w:szCs w:val="24"/>
        </w:rPr>
        <w:t xml:space="preserve"> de détail</w:t>
      </w:r>
    </w:p>
    <w:p w14:paraId="2E1A192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plans d'exécution et de synthèse des ouvrages et les spécifications techniques sont établis par l'entrepreneur et soumis, avec les notes de calcul correspondantes, au visa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Ce dernier doit les renvoyer à l'entrepreneur avec ses observations éventuelles au plus tard 15 jours après leur réception.</w:t>
      </w:r>
    </w:p>
    <w:p w14:paraId="3A44014D"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19 – Installation et organisation des chantiers</w:t>
      </w:r>
    </w:p>
    <w:p w14:paraId="5DF2C4C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clauses relatives à l'organisation du chantier sont définies dans le cahier des clauses techniques particulières (CCTP).</w:t>
      </w:r>
    </w:p>
    <w:p w14:paraId="45741661"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20 – Précisions sur le chantier</w:t>
      </w:r>
    </w:p>
    <w:p w14:paraId="118B6C6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clauses relatives à l'organisation du chantier sont définies dans le cahier des clauses techniques particulières (CCTP).</w:t>
      </w:r>
    </w:p>
    <w:p w14:paraId="2CCA1A69"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21 – Garde du chantier</w:t>
      </w:r>
    </w:p>
    <w:p w14:paraId="6063FF1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responsabilité de la garde du chantier et des risques qui en découlent sont à la charge de l'entrepreneur.</w:t>
      </w:r>
    </w:p>
    <w:p w14:paraId="773D0F9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22 – Sécurité et protection de la santé des travailleurs sur le chantier</w:t>
      </w:r>
    </w:p>
    <w:p w14:paraId="7C8CA4B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travaux ne sont pas soumis à l'obligation de désigner un coordonnateur en matière de sécurité et de santé ou d'établir un plan de prévention. Le maître d'ouvrage met néanmoins en œuvre les principes généraux de prévention afin d'assurer la sécurité et la protection de la santé des travailleurs, tout au long du ou des chantiers.</w:t>
      </w:r>
      <w:bookmarkStart w:id="14" w:name="REG"/>
      <w:bookmarkEnd w:id="14"/>
    </w:p>
    <w:p w14:paraId="3A98FB8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23 – Registre de chantier</w:t>
      </w:r>
    </w:p>
    <w:p w14:paraId="19F6DA5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Par dérogation à l'article 28.5 du CCAG-Travaux,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n'est pas tenu de tenir un registre de chantier retraçant le déroulement du chantier.</w:t>
      </w:r>
    </w:p>
    <w:p w14:paraId="2E230317"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24 – Gestion des déchets</w:t>
      </w:r>
    </w:p>
    <w:p w14:paraId="103A47C6"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bookmarkStart w:id="15" w:name="DEC"/>
      <w:bookmarkEnd w:id="15"/>
      <w:r>
        <w:rPr>
          <w:rFonts w:ascii="Times New Roman" w:hAnsi="Times New Roman" w:cs="Times New Roman"/>
          <w:bCs/>
          <w:i/>
          <w:iCs/>
          <w:sz w:val="24"/>
          <w:szCs w:val="24"/>
        </w:rPr>
        <w:t>Article 24.1 –Contrôle et suivi des déchets</w:t>
      </w:r>
    </w:p>
    <w:p w14:paraId="26E0362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communique au maître d'ouvrage, pendant la période de préparation du marché un schéma d'organisation et de gestion des déchets précisant notamment la méthode de prévention de la production des déchets, la méthode de tri, les installations de valorisation, de traitement et d'élimination des déchets, la traçabilité des déchets, les moyens humains mobilisés sur la thématique des déchets et notamment la personne qui sera désignée responsable des déchets ainsi que les mesures de sensibilisation du personnel.</w:t>
      </w:r>
    </w:p>
    <w:p w14:paraId="028AF52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Un modèle de bordereau de suivi des déchets est joint au dossier de consultation.</w:t>
      </w:r>
    </w:p>
    <w:p w14:paraId="27EB915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Chaque titulaire est soumis à une obligation de tri des déchets qu'il produit ou détient au titre de l'exécution de sa prestation, ainsi qu'à l'évacuation de ces déchets. Afin d'assurer la traçabilité des déchets du chantier, y compris d'emballage, l'utilisation des bordereaux de suivi des déchets établis selon le modèle joint au dossier de consultation est obligatoire. Ces bordereaux dûment remplis et signés contradictoirement par le titulaire et le(s) gestionnaire(s) des installations agréées ou autorisées de valorisation ou d'élimination des déchets sont remis au maître d'ouvrage et en copie au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w:t>
      </w:r>
    </w:p>
    <w:p w14:paraId="13347F79"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24.2 – Déchets dangereux</w:t>
      </w:r>
    </w:p>
    <w:p w14:paraId="600AF18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déchets dangereux tels que définis par l'article R.541-8 du code de l'environnement font l'objet d'un suivi spécifique. Dans ce cadre, l'utilisation des formulaires CERFA n°12571*01 est impérative.</w:t>
      </w:r>
    </w:p>
    <w:p w14:paraId="1EE117E5"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lastRenderedPageBreak/>
        <w:t>Article 24.3 –Exécution d'office des opérations de tri et d'enlèvement des déchets</w:t>
      </w:r>
    </w:p>
    <w:p w14:paraId="3C5E811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est soumis à une obligation de tri et d'enlèvement de ses déchets telle que définie à l'article 37.</w:t>
      </w:r>
      <w:proofErr w:type="gramStart"/>
      <w:r>
        <w:rPr>
          <w:rFonts w:ascii="Times New Roman" w:hAnsi="Times New Roman" w:cs="Times New Roman"/>
          <w:sz w:val="20"/>
          <w:szCs w:val="24"/>
        </w:rPr>
        <w:t>1.du</w:t>
      </w:r>
      <w:proofErr w:type="gramEnd"/>
      <w:r>
        <w:rPr>
          <w:rFonts w:ascii="Times New Roman" w:hAnsi="Times New Roman" w:cs="Times New Roman"/>
          <w:sz w:val="20"/>
          <w:szCs w:val="24"/>
        </w:rPr>
        <w:t xml:space="preserve"> CCAG-Travaux. Si cette obligation n'est pas respectée, le maître d'ouvrage peut, en vertu des dispositions de l'article L.541-3 du code de l'environnement et 37 du CCAG-Travaux, après ordre de service et mise en demeure restée sans effet pendant 30 jours, procéder d'office aux opérations de tri et d'enlèvement des déchets aux frais et risques du titulaire.</w:t>
      </w:r>
      <w:bookmarkStart w:id="16" w:name="DOE"/>
      <w:bookmarkEnd w:id="16"/>
    </w:p>
    <w:p w14:paraId="108AFB1E"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25 – Documents fournis après exécution</w:t>
      </w:r>
    </w:p>
    <w:p w14:paraId="3ED0645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40.1 du CCAG-Travaux, le titulaire doit fournir au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au plus tard lorsqu'il demande de procéder à la réception des travaux, les documents composant le dossier des ouvrages exécutés (DOE), ainsi que les constats d'évacuation des déchets et les documents nécessaires à l'établissement du dossier d'intervention ultérieure sur l'ouvrage (DIUO) préalablement validés par le maître d'œuvre.</w:t>
      </w:r>
    </w:p>
    <w:p w14:paraId="5BA76C5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Un exemplaire des documents nécessaires à l'établissement du dossier d'intervention ultérieure sur l'ouvrage (DUIO) est remis au coordonnateur de sécurité et de protection de la santé.</w:t>
      </w:r>
    </w:p>
    <w:p w14:paraId="40F56CE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225EAA9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DOE est composé des pièces </w:t>
      </w:r>
      <w:proofErr w:type="gramStart"/>
      <w:r>
        <w:rPr>
          <w:rFonts w:ascii="Times New Roman" w:hAnsi="Times New Roman" w:cs="Times New Roman"/>
          <w:sz w:val="20"/>
          <w:szCs w:val="24"/>
        </w:rPr>
        <w:t>suivantes:</w:t>
      </w:r>
      <w:proofErr w:type="gramEnd"/>
      <w:r>
        <w:rPr>
          <w:rFonts w:ascii="Times New Roman" w:hAnsi="Times New Roman" w:cs="Times New Roman"/>
          <w:sz w:val="20"/>
          <w:szCs w:val="24"/>
        </w:rPr>
        <w:t xml:space="preserve"> les plans d'exécution conformes à la réalisation, les fiches techniques des matériaux et produits mis en œuvre, les spécifications de pose, les notices de fonctionnement, les prescriptions de maintenance des éléments d'équipement mis en œuvre, les conditions de garantie des fabricants attachées à ces </w:t>
      </w:r>
      <w:proofErr w:type="gramStart"/>
      <w:r>
        <w:rPr>
          <w:rFonts w:ascii="Times New Roman" w:hAnsi="Times New Roman" w:cs="Times New Roman"/>
          <w:sz w:val="20"/>
          <w:szCs w:val="24"/>
        </w:rPr>
        <w:t>équipements..</w:t>
      </w:r>
      <w:proofErr w:type="gramEnd"/>
    </w:p>
    <w:p w14:paraId="24C314D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6B030F2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40.1 du CCAG-Travaux, les documents d'exécution devront être transmis sous forme électronique en respectant les caractéristiques suivantes : PDF, DWG.</w:t>
      </w:r>
    </w:p>
    <w:p w14:paraId="6F6890C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L'adresse électronique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ou de la plateforme numérique à </w:t>
      </w:r>
      <w:proofErr w:type="spellStart"/>
      <w:r>
        <w:rPr>
          <w:rFonts w:ascii="Times New Roman" w:hAnsi="Times New Roman" w:cs="Times New Roman"/>
          <w:sz w:val="20"/>
          <w:szCs w:val="24"/>
        </w:rPr>
        <w:t>utilisée</w:t>
      </w:r>
      <w:proofErr w:type="spellEnd"/>
      <w:r>
        <w:rPr>
          <w:rFonts w:ascii="Times New Roman" w:hAnsi="Times New Roman" w:cs="Times New Roman"/>
          <w:sz w:val="20"/>
          <w:szCs w:val="24"/>
        </w:rPr>
        <w:t xml:space="preserve"> pour envoyer les documents est la </w:t>
      </w:r>
      <w:proofErr w:type="gramStart"/>
      <w:r>
        <w:rPr>
          <w:rFonts w:ascii="Times New Roman" w:hAnsi="Times New Roman" w:cs="Times New Roman"/>
          <w:sz w:val="20"/>
          <w:szCs w:val="24"/>
        </w:rPr>
        <w:t>suivante:</w:t>
      </w:r>
      <w:proofErr w:type="gramEnd"/>
      <w:r>
        <w:rPr>
          <w:rFonts w:ascii="Times New Roman" w:hAnsi="Times New Roman" w:cs="Times New Roman"/>
          <w:sz w:val="20"/>
          <w:szCs w:val="24"/>
        </w:rPr>
        <w:t xml:space="preserve"> acp@acp-vrd.com.</w:t>
      </w:r>
    </w:p>
    <w:p w14:paraId="1987CF4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0A27C9A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En plus de la transmission par voie électronique, des exemplaires, sont exigés sur les supports physiques </w:t>
      </w:r>
      <w:proofErr w:type="spellStart"/>
      <w:proofErr w:type="gramStart"/>
      <w:r>
        <w:rPr>
          <w:rFonts w:ascii="Times New Roman" w:hAnsi="Times New Roman" w:cs="Times New Roman"/>
          <w:sz w:val="20"/>
          <w:szCs w:val="24"/>
        </w:rPr>
        <w:t>suivant:Les</w:t>
      </w:r>
      <w:proofErr w:type="spellEnd"/>
      <w:proofErr w:type="gramEnd"/>
      <w:r>
        <w:rPr>
          <w:rFonts w:ascii="Times New Roman" w:hAnsi="Times New Roman" w:cs="Times New Roman"/>
          <w:sz w:val="20"/>
          <w:szCs w:val="24"/>
        </w:rPr>
        <w:t xml:space="preserve"> documents d'exécution seront datés, identifiés et authentifiés par le titulaire et transmis en trois exemplaires </w:t>
      </w:r>
      <w:proofErr w:type="gramStart"/>
      <w:r>
        <w:rPr>
          <w:rFonts w:ascii="Times New Roman" w:hAnsi="Times New Roman" w:cs="Times New Roman"/>
          <w:sz w:val="20"/>
          <w:szCs w:val="24"/>
        </w:rPr>
        <w:t>papiers..</w:t>
      </w:r>
      <w:bookmarkStart w:id="17" w:name="RECEPTVX"/>
      <w:bookmarkEnd w:id="17"/>
      <w:proofErr w:type="gramEnd"/>
    </w:p>
    <w:p w14:paraId="33701D54"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26 – Réception</w:t>
      </w:r>
    </w:p>
    <w:p w14:paraId="6F21FD8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réception a lieu conformément à l'article 41 du CCAG-Travaux.</w:t>
      </w:r>
      <w:bookmarkStart w:id="18" w:name="PAIEMENT"/>
      <w:bookmarkEnd w:id="18"/>
    </w:p>
    <w:p w14:paraId="0608E27E"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27 – Modalités de paiement</w:t>
      </w:r>
    </w:p>
    <w:p w14:paraId="1DE5AE5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travaux sont réglés par acomptes et un solde. Les acomptes sont mensuels et le solde prend la forme d'un décompte général définitif, conformément à l'article 12 du CCAG-Travaux.</w:t>
      </w:r>
    </w:p>
    <w:p w14:paraId="0F5E7D7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37006F7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modalités de remise des demandes de paiement sont celles prévues par les articles R2192-12 à R2192-30 du Code de la Commande Publique.</w:t>
      </w:r>
      <w:bookmarkStart w:id="19" w:name="PAIEMENTFORME"/>
      <w:bookmarkEnd w:id="19"/>
    </w:p>
    <w:p w14:paraId="26BFE56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28 – Forme des demandes de paiements</w:t>
      </w:r>
    </w:p>
    <w:p w14:paraId="2AD1098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demande de paiement reprend le descriptif des prestations effectuées sur la base duquel le montant à payer est établi.</w:t>
      </w:r>
    </w:p>
    <w:p w14:paraId="3067106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Elle mentionne aussi le détail des prix unitaires.</w:t>
      </w:r>
    </w:p>
    <w:p w14:paraId="7CEC23A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0A20329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forme de la demande de paiement est établie conformément aux prescriptions du CCAG-Travaux.</w:t>
      </w:r>
    </w:p>
    <w:p w14:paraId="1041361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29 – Dématérialisation des paiements</w:t>
      </w:r>
    </w:p>
    <w:p w14:paraId="30C5513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facturation en ligne sera utilisée. En vertu de l'article L2192-1 du code de la commande publique, les titulaires de marchés conclus avec l'</w:t>
      </w:r>
      <w:proofErr w:type="spellStart"/>
      <w:r>
        <w:rPr>
          <w:rFonts w:ascii="Times New Roman" w:hAnsi="Times New Roman" w:cs="Times New Roman"/>
          <w:sz w:val="20"/>
          <w:szCs w:val="24"/>
        </w:rPr>
        <w:t>Etat</w:t>
      </w:r>
      <w:proofErr w:type="spellEnd"/>
      <w:r>
        <w:rPr>
          <w:rFonts w:ascii="Times New Roman" w:hAnsi="Times New Roman" w:cs="Times New Roman"/>
          <w:sz w:val="20"/>
          <w:szCs w:val="24"/>
        </w:rPr>
        <w:t>, les collectivités territoriales et les établissements publics, ainsi que leurs sous-traitants admis au paiement direct, transmettent leurs factures sous forme électronique.</w:t>
      </w:r>
    </w:p>
    <w:p w14:paraId="1CC9C00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opérateurs économiques ont l'obligation de transmettre leur facturation de façon dématérialisée au moyen de la plateforme chorus-pro.gouv.fr.</w:t>
      </w:r>
    </w:p>
    <w:p w14:paraId="02D817C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L'utilisation du portail public de facturation est exclusive de tout autre mode de transmission. Lorsqu'une facture lui est transmise en dehors de ce portail, la personne publique destinataire ne peut la rejeter qu'après avoir informé </w:t>
      </w:r>
      <w:r>
        <w:rPr>
          <w:rFonts w:ascii="Times New Roman" w:hAnsi="Times New Roman" w:cs="Times New Roman"/>
          <w:sz w:val="20"/>
          <w:szCs w:val="24"/>
        </w:rPr>
        <w:lastRenderedPageBreak/>
        <w:t>l'émetteur par tout moyen de l'obligation mentionnée à l'article L. 2192-1 et l'avoir invité à s'y conformer en utilisant ce portail.</w:t>
      </w:r>
    </w:p>
    <w:p w14:paraId="3715A56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date de réception d'une demande de paiement transmise par voie électronique correspond à la date de notification du message électronique informant l'acheteur de la mise à disposition de la facture sur le portail de facturation (ou, le cas échéant pour l'</w:t>
      </w:r>
      <w:proofErr w:type="spellStart"/>
      <w:r>
        <w:rPr>
          <w:rFonts w:ascii="Times New Roman" w:hAnsi="Times New Roman" w:cs="Times New Roman"/>
          <w:sz w:val="20"/>
          <w:szCs w:val="24"/>
        </w:rPr>
        <w:t>Etat</w:t>
      </w:r>
      <w:proofErr w:type="spellEnd"/>
      <w:r>
        <w:rPr>
          <w:rFonts w:ascii="Times New Roman" w:hAnsi="Times New Roman" w:cs="Times New Roman"/>
          <w:sz w:val="20"/>
          <w:szCs w:val="24"/>
        </w:rPr>
        <w:t>, à la date d'horodatage de la facture par le système d'information budgétaire et comptable pour une facture transmise par échange de données informatisé).</w:t>
      </w:r>
    </w:p>
    <w:p w14:paraId="547663E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5CE2F0A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Modalités pratiques pour transmettre les factures sur le portail Chorus</w:t>
      </w:r>
      <w:r>
        <w:rPr>
          <w:rFonts w:ascii="Times New Roman" w:hAnsi="Times New Roman" w:cs="Times New Roman"/>
          <w:sz w:val="20"/>
          <w:szCs w:val="24"/>
        </w:rPr>
        <w:t xml:space="preserve"> </w:t>
      </w:r>
    </w:p>
    <w:p w14:paraId="093713C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Identifiant de la structure publique : 21600476200011</w:t>
      </w:r>
    </w:p>
    <w:p w14:paraId="20FF9736" w14:textId="568C5FA1" w:rsidR="00112670" w:rsidRDefault="00EC136F">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 </w:t>
      </w:r>
    </w:p>
    <w:p w14:paraId="0858B02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Références ou numéro de l'engagement juridique : numéro de marché fourni à la notification du marché</w:t>
      </w:r>
    </w:p>
    <w:p w14:paraId="4D69E70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Instructions pour l'enregistrement de la facture : Depuis l'espace Factures de travaux, cliquez sur l'onglet "Déposer" puis cochez "Dépôt initial" importer votre facture au format PDF. Sélectionner le cadre de facturation correspondant à votre situation, précisez votre structure, identifiez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et le maître d'ouvrage puis confirmer votre envoi après avoir </w:t>
      </w:r>
      <w:proofErr w:type="spellStart"/>
      <w:r>
        <w:rPr>
          <w:rFonts w:ascii="Times New Roman" w:hAnsi="Times New Roman" w:cs="Times New Roman"/>
          <w:sz w:val="20"/>
          <w:szCs w:val="24"/>
        </w:rPr>
        <w:t>vérifier</w:t>
      </w:r>
      <w:proofErr w:type="spellEnd"/>
      <w:r>
        <w:rPr>
          <w:rFonts w:ascii="Times New Roman" w:hAnsi="Times New Roman" w:cs="Times New Roman"/>
          <w:sz w:val="20"/>
          <w:szCs w:val="24"/>
        </w:rPr>
        <w:t xml:space="preserve"> le destinataire</w:t>
      </w:r>
    </w:p>
    <w:p w14:paraId="72D21B1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 xml:space="preserve">Mentions obligatoires des factures électroniques : </w:t>
      </w:r>
      <w:r>
        <w:rPr>
          <w:rFonts w:ascii="Times New Roman" w:hAnsi="Times New Roman" w:cs="Times New Roman"/>
          <w:sz w:val="20"/>
          <w:szCs w:val="24"/>
        </w:rPr>
        <w:t xml:space="preserve"> </w:t>
      </w:r>
    </w:p>
    <w:p w14:paraId="0165353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factures électroniques comportent les mentions obligatoires listées par l'article D2192-2 du code de la commande publique, sans se substituer aux mentions prévues par l'article L441-3 du code de commerce et l'article 242 nonies A du Code Général des Impôts au regard du droit fiscal.</w:t>
      </w:r>
    </w:p>
    <w:p w14:paraId="22B84BE4"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30 – Sous-traitance et cotraitance</w:t>
      </w:r>
    </w:p>
    <w:p w14:paraId="13441E6F"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30.1 – Désignation de sous-traitants en cours de marché</w:t>
      </w:r>
    </w:p>
    <w:p w14:paraId="3750349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L'acte spécial précise tous les éléments contenus dans la déclaration prévue à l'article R. 2193-1 du Code de la Commande Publique.</w:t>
      </w:r>
    </w:p>
    <w:p w14:paraId="1AFD95A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indique, en outre, pour les sous-traitants bénéficiant du paiement direct :</w:t>
      </w:r>
    </w:p>
    <w:p w14:paraId="0D61EF59"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les</w:t>
      </w:r>
      <w:proofErr w:type="gramEnd"/>
      <w:r>
        <w:rPr>
          <w:rFonts w:ascii="Times New Roman" w:hAnsi="Times New Roman" w:cs="Times New Roman"/>
          <w:sz w:val="20"/>
          <w:szCs w:val="24"/>
        </w:rPr>
        <w:t xml:space="preserve"> modalités de règlement des sommes à payer directement au sous-traitant ;</w:t>
      </w:r>
    </w:p>
    <w:p w14:paraId="0127E31B"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le</w:t>
      </w:r>
      <w:proofErr w:type="gramEnd"/>
      <w:r>
        <w:rPr>
          <w:rFonts w:ascii="Times New Roman" w:hAnsi="Times New Roman" w:cs="Times New Roman"/>
          <w:sz w:val="20"/>
          <w:szCs w:val="24"/>
        </w:rPr>
        <w:t xml:space="preserve"> comptable assignataire des paiements ;</w:t>
      </w:r>
    </w:p>
    <w:p w14:paraId="72403801"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le</w:t>
      </w:r>
      <w:proofErr w:type="gramEnd"/>
      <w:r>
        <w:rPr>
          <w:rFonts w:ascii="Times New Roman" w:hAnsi="Times New Roman" w:cs="Times New Roman"/>
          <w:sz w:val="20"/>
          <w:szCs w:val="24"/>
        </w:rPr>
        <w:t xml:space="preserve"> compte à créditer.</w:t>
      </w:r>
    </w:p>
    <w:p w14:paraId="24B17D38"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30.2 – Paiement direct des cotraitants</w:t>
      </w:r>
    </w:p>
    <w:p w14:paraId="481DA04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cas de groupement conjoint ou solidaire, chaque membre du groupement perçoit directement les sommes se rapportant à l'exécution de ses propres prestations.</w:t>
      </w:r>
    </w:p>
    <w:p w14:paraId="339B13A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décomptes sont décomposés en autant de parties qu'il y a de membres à payer séparément, à concurrence du montant dû à chacun.</w:t>
      </w:r>
    </w:p>
    <w:p w14:paraId="5F4D75D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signature du projet de décompte par le mandataire vaut, pour chaque cotraitant, acceptation du montant d'acompte ou du solde à lui payer directement, déterminé à partir de la partie du décompte afférente aux prestations exécutées par ce cotraitant.</w:t>
      </w:r>
    </w:p>
    <w:p w14:paraId="39AE64D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Lorsqu'un sous-traitant est payé directement, le membre du groupement ou le mandataire :</w:t>
      </w:r>
    </w:p>
    <w:p w14:paraId="72604F1E"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indique</w:t>
      </w:r>
      <w:proofErr w:type="gramEnd"/>
      <w:r>
        <w:rPr>
          <w:rFonts w:ascii="Times New Roman" w:hAnsi="Times New Roman" w:cs="Times New Roman"/>
          <w:sz w:val="20"/>
          <w:szCs w:val="24"/>
        </w:rPr>
        <w:t>, dans le projet de décompte, la somme à prélever sur celles qui lui sont dues, ou qui sont dues au membre du groupement concerné par la partie de la prestation exécutée, et que le représentant du maître d'ouvrage doit régler à ce sous-traitant ;</w:t>
      </w:r>
    </w:p>
    <w:p w14:paraId="73C8341F"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joint</w:t>
      </w:r>
      <w:proofErr w:type="gramEnd"/>
      <w:r>
        <w:rPr>
          <w:rFonts w:ascii="Times New Roman" w:hAnsi="Times New Roman" w:cs="Times New Roman"/>
          <w:sz w:val="20"/>
          <w:szCs w:val="24"/>
        </w:rPr>
        <w:t xml:space="preserve"> la copie des factures de ce sous-traitant acceptées ou rectifiées par ses soins.</w:t>
      </w:r>
    </w:p>
    <w:p w14:paraId="62847DC6"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30.3 – Paiement direct des sous-traitants</w:t>
      </w:r>
    </w:p>
    <w:p w14:paraId="0FDA002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R2193-11 du code de la commande publique, le sous-traitant admis au paiement direct adresse sa demande de paiement au titulaire du marché, par tout moyen permettant d'en assurer la réception et d'en déterminer la date, ou la dépose auprès du titulaire contre récépissé.</w:t>
      </w:r>
    </w:p>
    <w:p w14:paraId="3944AF3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R2193-12 du code de la commande publique, le titulaire dispose d'un délai de quinze jours à compter de la date de réception ou du récépissé mentionnés à l'article R. 2193-11 pour donner son accord ou notifier un refus, d'une part, au sous-traitant et, d'autre part, à l'acheteur, représenté par 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Lorsque le sous-traitant utilise le portail de facturation mentionné à l'article L2192-5 du code de la commande publique, il y dépose sa demande de paiement sans autre formalité. Le titulaire dispose de quinze jours à compter de ce dépôt pour accepter ou refuser la demande de paiement sur le portail de facturation.</w:t>
      </w:r>
    </w:p>
    <w:p w14:paraId="1B036D3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Passé ce délai de quinze jours, le titulaire du marché est réputé avoir accepté celles des pièces justificatives ou des parties de pièces justificatives qu'il n'a pas expressément acceptées ou refusées. Conformément à l'article R2193-14 du code de la commande publique, lorsque le sous-traitant a obtenu la preuve ou le récépissé attestant que le titulaire a bien reçu la demande de paiement dans les conditions fixées à l'article R. 2193-11 ou qu'il dispose de </w:t>
      </w:r>
      <w:r>
        <w:rPr>
          <w:rFonts w:ascii="Times New Roman" w:hAnsi="Times New Roman" w:cs="Times New Roman"/>
          <w:sz w:val="20"/>
          <w:szCs w:val="24"/>
        </w:rPr>
        <w:lastRenderedPageBreak/>
        <w:t>l'avis postal attestant que le pli a été refusé ou n'a pas été réclamé par le titulaire, le sous-traitant adresse sa demande de paiement au maître d'œuvre représentant l'acheteur, accompagnée de cette preuve, du récépissé ou de l'avis postal.</w:t>
      </w:r>
    </w:p>
    <w:p w14:paraId="6D807C7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adresse sans délai au titulaire une copie des factures produites par le sous-traitant.</w:t>
      </w:r>
    </w:p>
    <w:p w14:paraId="7534AE2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maître d'ouvrage procède au paiement du sous-traitant dans le délai décrit à l'article 32 - Délai de paiement.</w:t>
      </w:r>
    </w:p>
    <w:p w14:paraId="01094FC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 délai court à compter de la réception par l'acheteur représenté par le maître d'œuvre, de l'accord, total ou partiel, du titulaire sur le paiement demandé. A défaut de notification d'un accord ou d'un refus par le titulaire dans le délai mentionné à l'article R. 2193-12, le délai de paiement court à compter soit de l'expiration de ce délai, soit de la réception par le maître d'œuvre représentant l'acheteur de l'avis postal mentionné à l'article R. 2193-14.</w:t>
      </w:r>
    </w:p>
    <w:p w14:paraId="5D456D4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maître d'ouvrage informe le titulaire des paiements qu'il effectue au sous-traitant.</w:t>
      </w:r>
    </w:p>
    <w:p w14:paraId="4B7D8E7D"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31 – Monnaie de compte du marché</w:t>
      </w:r>
    </w:p>
    <w:p w14:paraId="2AD02CF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monnaie de compte du marché est l'euro pour toutes les parties prenantes.</w:t>
      </w:r>
      <w:bookmarkStart w:id="20" w:name="DELAIPAIEMENT"/>
      <w:bookmarkEnd w:id="20"/>
    </w:p>
    <w:p w14:paraId="0F5A24F3"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32 – Délai de paiement</w:t>
      </w:r>
    </w:p>
    <w:p w14:paraId="1048459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conditions de mise en œuvre du délai maximum de paiement sont celles énoncées par les articles L2192-10 à L2192-14 et R2192-12 à R2192-36 du code de la commande publique.</w:t>
      </w:r>
    </w:p>
    <w:p w14:paraId="3FA3488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Sous réserve des dispositions prévues aux articles R. 2192-13, R. 2192-17 et R. 2192-18, le délai de paiement court à compter de la date de réception de la demande de paiement par le pouvoir adjudicateur ou, si le marché le prévoit, par le maître d'œuvre ou toute autre personne habilitée à cet effet.</w:t>
      </w:r>
    </w:p>
    <w:p w14:paraId="7621B76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0687021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paiement des sommes dues est effectué dans un délai global maximum de 30 jours.</w:t>
      </w:r>
    </w:p>
    <w:p w14:paraId="0468852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b/>
          <w:sz w:val="20"/>
          <w:szCs w:val="24"/>
        </w:rPr>
        <w:t xml:space="preserve">Intérêts moratoires et indemnités sanctionnant le retard de paiement </w:t>
      </w:r>
      <w:r>
        <w:rPr>
          <w:rFonts w:ascii="Times New Roman" w:hAnsi="Times New Roman" w:cs="Times New Roman"/>
          <w:sz w:val="20"/>
          <w:szCs w:val="24"/>
        </w:rPr>
        <w:t xml:space="preserve"> </w:t>
      </w:r>
    </w:p>
    <w:p w14:paraId="38C7E2C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taux des intérêts moratoires prévu à l'article L2192-13 du code de la commande publique est égal au taux d'intérêt de la principale facilité de refinancement appliquée par la Banque Centrale Européenne à son opération de refinancement principal la plus récente, en vigueur au premier jour du semestre de l'année civile au cours duquel les intérêts moratoires ont commencé à courir, majoré de huit points de pourcentage.</w:t>
      </w:r>
    </w:p>
    <w:p w14:paraId="675306E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En vertu de l'article L2192-13 alinéa 3 du code de la commande publique, le retard de paiement donne lieu, de plein droit et sans autre formalité, au versement d'une indemnité forfaitaire pour frais de recouvrement de 40 euros, conformément à l'article D2192-35 du code de la commande publique.</w:t>
      </w:r>
    </w:p>
    <w:p w14:paraId="773D220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33 – Retenue de garantie</w:t>
      </w:r>
    </w:p>
    <w:p w14:paraId="7F509E9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est appliqué une retenue de garantie dont le montant est égal à 5% du montant initial du marché, augmenté, le cas échéant, du montant des avenants. La retenue de garantie est prélevée par fractions sur chacun des versements autres qu'une avance.</w:t>
      </w:r>
    </w:p>
    <w:p w14:paraId="52E124E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2250A8B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retenue de garantie peut être remplacée par une caution personnelle et solidaire ou par une garantie à première demande dans les conditions prévues aux articles R2191-36 à R2191-42 du code de la commande publique.</w:t>
      </w:r>
    </w:p>
    <w:p w14:paraId="0B65AB0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565E317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Lorsque le titulaire est un groupement conjoint, chaque membre du groupement fournit une garantie correspondant aux prestations qui lui sont confiées. Si le mandataire du groupement conjoint est solidaire de chacun des membres du groupement, la garantie peut être fournie par le mandataire pour la totalité du marché.</w:t>
      </w:r>
    </w:p>
    <w:p w14:paraId="769D400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Dans l'hypothèse où la garantie à première demande ne serait pas constituée ou complétée au plus tard à la date à laquelle le titulaire remet la demande de paiement correspondant au premier acompte, la fraction de la retenue de garantie correspondant à l'acompte est prélevée.</w:t>
      </w:r>
    </w:p>
    <w:p w14:paraId="09AD5E0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a la possibilité, pendant toute la durée du marché, de substituer une garantie à première demande à la retenue de garantie. Toutefois, cette garantie à première demande est constituée pour le montant total du marché y compris les avenants. Les montants prélevés au titre de la retenue de garantie sont reversés au titulaire après constitution de la garantie de substitution.</w:t>
      </w:r>
    </w:p>
    <w:p w14:paraId="5AFCE92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 retenue de garantie est remboursée, ou les personnes ayant accordé leur caution ou leur garantie à première demande sont libérées, un mois au plus tard à compter de la levée des réserves ou à compter de l'expiration du délai de garantie, dans les conditions prévues à l'article R2191-42 du code de la commande publique.</w:t>
      </w:r>
    </w:p>
    <w:p w14:paraId="3389DA0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34 – Dispositions concernant l'avance</w:t>
      </w:r>
    </w:p>
    <w:p w14:paraId="4A7F3735"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34.1 Taux et conditions de versement de l'avance-tranche Rue Vatel</w:t>
      </w:r>
    </w:p>
    <w:p w14:paraId="0D75CA3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lastRenderedPageBreak/>
        <w:t>Aucune avance n'est prévue.</w:t>
      </w:r>
    </w:p>
    <w:p w14:paraId="7ADB7146" w14:textId="57A65BF6"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 xml:space="preserve">Article 34.2 Taux et conditions de versement de l'avance-tranche Rues </w:t>
      </w:r>
      <w:r w:rsidR="009B4183">
        <w:rPr>
          <w:rFonts w:ascii="Times New Roman" w:hAnsi="Times New Roman" w:cs="Times New Roman"/>
          <w:bCs/>
          <w:i/>
          <w:iCs/>
          <w:sz w:val="24"/>
          <w:szCs w:val="24"/>
        </w:rPr>
        <w:t>Docteur Schweitzer</w:t>
      </w:r>
      <w:r>
        <w:rPr>
          <w:rFonts w:ascii="Times New Roman" w:hAnsi="Times New Roman" w:cs="Times New Roman"/>
          <w:bCs/>
          <w:i/>
          <w:iCs/>
          <w:sz w:val="24"/>
          <w:szCs w:val="24"/>
        </w:rPr>
        <w:t xml:space="preserve"> et Briand</w:t>
      </w:r>
    </w:p>
    <w:p w14:paraId="4F958DB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Aucune avance n'est prévue.</w:t>
      </w:r>
      <w:bookmarkStart w:id="21" w:name="OBLIG"/>
      <w:bookmarkEnd w:id="21"/>
    </w:p>
    <w:p w14:paraId="376A1539"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35 – Obligation de parfait achèvement</w:t>
      </w:r>
    </w:p>
    <w:p w14:paraId="7BBCF59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délai de garantie est fixé à 12 mois.</w:t>
      </w:r>
    </w:p>
    <w:p w14:paraId="1B26591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Pendant le délai de garantie, l'entrepreneur est tenu à l'obligation de parfait achèvement prévue au CCAG-Travaux.</w:t>
      </w:r>
    </w:p>
    <w:p w14:paraId="2934292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
    <w:p w14:paraId="511BDC0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délai de garantie des tranches ayant fait l'objet d'une réception partielle court à compter de la date d'effet de cette réception partielle.</w:t>
      </w:r>
      <w:bookmarkStart w:id="22" w:name="RESPCIVPRO"/>
      <w:bookmarkEnd w:id="22"/>
    </w:p>
    <w:p w14:paraId="34D4624A"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36 – Assurances de responsabilité civile professionnelle</w:t>
      </w:r>
    </w:p>
    <w:p w14:paraId="52CB8CB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8 du CCAG-Travaux, le titulaire doit contracter les assurances permettant de garantir sa responsabilité à l'égard des tiers, victimes d'accidents ou de dommages causés par la conduite des prestations ou les modalités de leur exécution.</w:t>
      </w:r>
    </w:p>
    <w:p w14:paraId="65E3496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doit justifier dans un délai de quinze jours courant à compter de la notification du marché et avant tout début d'exécution de celui-ci, qu'il est titulaire de ces contrats d'assurances, au moyen d'une attestation établissant l'étendue de la responsabilité garantie.</w:t>
      </w:r>
    </w:p>
    <w:p w14:paraId="5B83382D"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proofErr w:type="gramStart"/>
      <w:r>
        <w:rPr>
          <w:rFonts w:ascii="Times New Roman" w:hAnsi="Times New Roman" w:cs="Times New Roman"/>
          <w:sz w:val="20"/>
          <w:szCs w:val="24"/>
        </w:rPr>
        <w:t>A tout moment</w:t>
      </w:r>
      <w:proofErr w:type="gramEnd"/>
      <w:r>
        <w:rPr>
          <w:rFonts w:ascii="Times New Roman" w:hAnsi="Times New Roman" w:cs="Times New Roman"/>
          <w:sz w:val="20"/>
          <w:szCs w:val="24"/>
        </w:rPr>
        <w:t xml:space="preserve"> durant l'exécution du marché, le titulaire doit être en mesure de produire cette attestation, sur demande du pouvoir adjudicateur et dans un délai de quinze jours à compter de la réception de la demande.</w:t>
      </w:r>
    </w:p>
    <w:p w14:paraId="540EEEB0"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37 – Assurances souscrites par le maître d'ouvrage</w:t>
      </w:r>
    </w:p>
    <w:p w14:paraId="5BE7B5B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maître d'ouvrage n'a souscrit à aucune assurance spécifique concernant l'opération.</w:t>
      </w:r>
      <w:bookmarkStart w:id="23" w:name="PENALITE"/>
      <w:bookmarkEnd w:id="23"/>
    </w:p>
    <w:p w14:paraId="63324CB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38 – Règles générales d'application des pénalités</w:t>
      </w:r>
    </w:p>
    <w:p w14:paraId="1BB7287C"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38.1 Modalités de retenue des pénalités</w:t>
      </w:r>
    </w:p>
    <w:p w14:paraId="5C98E28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au CCAG, les pénalités sont précomptées sur les acomptes versés par l'acheteur.</w:t>
      </w:r>
      <w:bookmarkStart w:id="24" w:name="PGPT"/>
      <w:bookmarkEnd w:id="24"/>
    </w:p>
    <w:p w14:paraId="70365750"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38.2 Modalités d'imputation des pénalités en cas de groupement</w:t>
      </w:r>
    </w:p>
    <w:p w14:paraId="6FC079D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au CCAG, dans le cas d'un groupement d'opérateurs économiques pour lesquels le paiement est effectué à des comptes séparés, les pénalités sont réparties entre les membres du groupement conformément aux indications données par le mandataire.</w:t>
      </w:r>
    </w:p>
    <w:p w14:paraId="460F2EF5"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Dans l'attente de ces indications, les pénalités sont retenues en totalité sur les sommes dues au mandataire, sans que cette opération engage la responsabilité du maître d'ouvrage à l'égard des autres opérateurs économiques.</w:t>
      </w:r>
    </w:p>
    <w:p w14:paraId="4F893E9A"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39 – Pénalités de retard</w:t>
      </w:r>
    </w:p>
    <w:p w14:paraId="5F336C5D"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bookmarkStart w:id="25" w:name="RETARD"/>
      <w:bookmarkEnd w:id="25"/>
      <w:r>
        <w:rPr>
          <w:rFonts w:ascii="Times New Roman" w:hAnsi="Times New Roman" w:cs="Times New Roman"/>
          <w:bCs/>
          <w:i/>
          <w:iCs/>
          <w:sz w:val="24"/>
          <w:szCs w:val="24"/>
        </w:rPr>
        <w:t>Article 39.1 Calcul des pénalités de retard</w:t>
      </w:r>
    </w:p>
    <w:p w14:paraId="52D1247E"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Les pénalités journalières de retard dans l'exécution des prestations sont calculées comme indiqué à l'article 19.2.3 du CCAG-Travaux.</w:t>
      </w:r>
      <w:bookmarkStart w:id="26" w:name="PLAFOND"/>
      <w:bookmarkEnd w:id="26"/>
    </w:p>
    <w:p w14:paraId="3C71E784"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39.2 Plafonnement des pénalités de retard</w:t>
      </w:r>
    </w:p>
    <w:p w14:paraId="78CB8273"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au CCAG, le montant total des pénalités de retard ne peut dépasser 10% du montant hors taxes de l'ensemble du marché. Le montant hors taxes de l'ensemble du marché est celui qui résulte des prévisions du marché, c'est-à-dire du marché initial éventuellement modifié ou complété par les avenants intervenus.</w:t>
      </w:r>
      <w:bookmarkStart w:id="27" w:name="PEXO"/>
      <w:bookmarkEnd w:id="27"/>
    </w:p>
    <w:p w14:paraId="32586B44"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39.3 Exonération des pénalités de retard</w:t>
      </w:r>
    </w:p>
    <w:p w14:paraId="0517E25A"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au CCAG, le titulaire est exonéré des pénalités de retard dont le montant total ne dépasse pas 1000 euros HT pour l'ensemble du marché. Le terme "d'exonération" s'entend strictement. La totalité des pénalités est due si le seuil est dépassé.</w:t>
      </w:r>
      <w:bookmarkStart w:id="28" w:name="CONTRADIC"/>
      <w:bookmarkEnd w:id="28"/>
    </w:p>
    <w:p w14:paraId="00535796"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lastRenderedPageBreak/>
        <w:t xml:space="preserve">Article 39.4 Mise en </w:t>
      </w:r>
      <w:proofErr w:type="spellStart"/>
      <w:r>
        <w:rPr>
          <w:rFonts w:ascii="Times New Roman" w:hAnsi="Times New Roman" w:cs="Times New Roman"/>
          <w:bCs/>
          <w:i/>
          <w:iCs/>
          <w:sz w:val="24"/>
          <w:szCs w:val="24"/>
        </w:rPr>
        <w:t>oeuvre</w:t>
      </w:r>
      <w:proofErr w:type="spellEnd"/>
      <w:r>
        <w:rPr>
          <w:rFonts w:ascii="Times New Roman" w:hAnsi="Times New Roman" w:cs="Times New Roman"/>
          <w:bCs/>
          <w:i/>
          <w:iCs/>
          <w:sz w:val="24"/>
          <w:szCs w:val="24"/>
        </w:rPr>
        <w:t xml:space="preserve"> des pénalités de retard</w:t>
      </w:r>
    </w:p>
    <w:p w14:paraId="1853D482"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Les pénalités de retard ne sont appliquées que </w:t>
      </w:r>
      <w:proofErr w:type="gramStart"/>
      <w:r>
        <w:rPr>
          <w:rFonts w:ascii="Times New Roman" w:hAnsi="Times New Roman" w:cs="Times New Roman"/>
          <w:sz w:val="20"/>
          <w:szCs w:val="24"/>
        </w:rPr>
        <w:t>suite à une</w:t>
      </w:r>
      <w:proofErr w:type="gramEnd"/>
      <w:r>
        <w:rPr>
          <w:rFonts w:ascii="Times New Roman" w:hAnsi="Times New Roman" w:cs="Times New Roman"/>
          <w:sz w:val="20"/>
          <w:szCs w:val="24"/>
        </w:rPr>
        <w:t xml:space="preserve"> phase de contradictoire avec le titulaire du marché, invité par l'acheteur à présenter ses observations, comme indiqué à l'article 19.2.4 du CCAG-Travaux.</w:t>
      </w:r>
      <w:bookmarkStart w:id="29" w:name="PRMED"/>
      <w:bookmarkEnd w:id="29"/>
    </w:p>
    <w:p w14:paraId="630C4FD9"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40 – Pénalités pour absence aux réunions</w:t>
      </w:r>
    </w:p>
    <w:p w14:paraId="6A60311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Si le titulaire ou son représentant ne se rend pas dans les bureaux du maître d'</w:t>
      </w:r>
      <w:proofErr w:type="spellStart"/>
      <w:r>
        <w:rPr>
          <w:rFonts w:ascii="Times New Roman" w:hAnsi="Times New Roman" w:cs="Times New Roman"/>
          <w:sz w:val="20"/>
          <w:szCs w:val="24"/>
        </w:rPr>
        <w:t>oeuvre</w:t>
      </w:r>
      <w:proofErr w:type="spellEnd"/>
      <w:r>
        <w:rPr>
          <w:rFonts w:ascii="Times New Roman" w:hAnsi="Times New Roman" w:cs="Times New Roman"/>
          <w:sz w:val="20"/>
          <w:szCs w:val="24"/>
        </w:rPr>
        <w:t xml:space="preserve"> ou sur le chantier toutes les fois qu'il en est requis, comme précisé à l'article 3.9 du CCAG-Travaux, il subit, sans mise en demeure préalable, une pénalité forfaitaire fixée à 100 euros, pour toute absence constatée, par dérogation à l'article 52.1 du CCAG-Travaux.</w:t>
      </w:r>
      <w:bookmarkStart w:id="30" w:name="PDECHETS"/>
      <w:bookmarkEnd w:id="30"/>
    </w:p>
    <w:p w14:paraId="074956E5"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41 – Pénalités en cas d'absence de production des documents de gestion et suivi des déchets de chantier </w:t>
      </w:r>
    </w:p>
    <w:p w14:paraId="2397407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Conformément à l'article 36.2.3 du CCAG-Travaux en cas d'absence de production du </w:t>
      </w:r>
      <w:proofErr w:type="spellStart"/>
      <w:r>
        <w:rPr>
          <w:rFonts w:ascii="Times New Roman" w:hAnsi="Times New Roman" w:cs="Times New Roman"/>
          <w:sz w:val="20"/>
          <w:szCs w:val="24"/>
        </w:rPr>
        <w:t>soged</w:t>
      </w:r>
      <w:proofErr w:type="spellEnd"/>
      <w:r>
        <w:rPr>
          <w:rFonts w:ascii="Times New Roman" w:hAnsi="Times New Roman" w:cs="Times New Roman"/>
          <w:sz w:val="20"/>
          <w:szCs w:val="24"/>
        </w:rPr>
        <w:t xml:space="preserve"> ou du bordereau de suivi ou de dépôt des déchets ou des constats d'évacuation des déchets, le titulaire se voit appliquer, après mis en demeure restée infructueuse, la pénalité forfaitaire suivante :100 euros HT.</w:t>
      </w:r>
    </w:p>
    <w:p w14:paraId="7C920F8A"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 xml:space="preserve">Article 42 – Sanction complémentaire à l'exécution d'office en cas de </w:t>
      </w:r>
      <w:proofErr w:type="spellStart"/>
      <w:proofErr w:type="gramStart"/>
      <w:r>
        <w:rPr>
          <w:rFonts w:ascii="Times New Roman" w:hAnsi="Times New Roman" w:cs="Times New Roman"/>
          <w:bCs/>
          <w:sz w:val="24"/>
          <w:szCs w:val="24"/>
        </w:rPr>
        <w:t>non respect</w:t>
      </w:r>
      <w:proofErr w:type="spellEnd"/>
      <w:proofErr w:type="gramEnd"/>
      <w:r>
        <w:rPr>
          <w:rFonts w:ascii="Times New Roman" w:hAnsi="Times New Roman" w:cs="Times New Roman"/>
          <w:bCs/>
          <w:sz w:val="24"/>
          <w:szCs w:val="24"/>
        </w:rPr>
        <w:t xml:space="preserve"> de l'obligation d'enlèvement des déchets </w:t>
      </w:r>
    </w:p>
    <w:p w14:paraId="0A6B254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Conformément à l'article 37.3 du CCAG-Travaux, l'exécution d'office de l'enlèvement des déchets aux frais et risques du titulaire s'accompagne de l'application des pénalités suivantes : En cas de </w:t>
      </w:r>
      <w:proofErr w:type="spellStart"/>
      <w:proofErr w:type="gramStart"/>
      <w:r>
        <w:rPr>
          <w:rFonts w:ascii="Times New Roman" w:hAnsi="Times New Roman" w:cs="Times New Roman"/>
          <w:sz w:val="20"/>
          <w:szCs w:val="24"/>
        </w:rPr>
        <w:t>non respect</w:t>
      </w:r>
      <w:proofErr w:type="spellEnd"/>
      <w:proofErr w:type="gramEnd"/>
      <w:r>
        <w:rPr>
          <w:rFonts w:ascii="Times New Roman" w:hAnsi="Times New Roman" w:cs="Times New Roman"/>
          <w:sz w:val="20"/>
          <w:szCs w:val="24"/>
        </w:rPr>
        <w:t xml:space="preserve"> par le titulaire de ses obligations de tri et d'enlèvement de ses déchets, une pénalité de 150 euros par jour de retard à compter de la mise en demeure lui enjoignant d'exécuter ses obligations sur le champ sera </w:t>
      </w:r>
      <w:proofErr w:type="gramStart"/>
      <w:r>
        <w:rPr>
          <w:rFonts w:ascii="Times New Roman" w:hAnsi="Times New Roman" w:cs="Times New Roman"/>
          <w:sz w:val="20"/>
          <w:szCs w:val="24"/>
        </w:rPr>
        <w:t>appliquée..</w:t>
      </w:r>
      <w:bookmarkStart w:id="31" w:name="PDOE"/>
      <w:bookmarkEnd w:id="31"/>
      <w:proofErr w:type="gramEnd"/>
    </w:p>
    <w:p w14:paraId="4B830B0F"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43 – Sanction du retard dans la remise des documents à fournir après exécution</w:t>
      </w:r>
    </w:p>
    <w:p w14:paraId="7D4C2399"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Conformément à l'article 19.3 du CCAG-Travaux, une retenue sera prélevée sur le dernier acompte et remboursée dès que l'ensemble des documents sera </w:t>
      </w:r>
      <w:proofErr w:type="gramStart"/>
      <w:r>
        <w:rPr>
          <w:rFonts w:ascii="Times New Roman" w:hAnsi="Times New Roman" w:cs="Times New Roman"/>
          <w:sz w:val="20"/>
          <w:szCs w:val="24"/>
        </w:rPr>
        <w:t>fournis</w:t>
      </w:r>
      <w:proofErr w:type="gramEnd"/>
      <w:r>
        <w:rPr>
          <w:rFonts w:ascii="Times New Roman" w:hAnsi="Times New Roman" w:cs="Times New Roman"/>
          <w:sz w:val="20"/>
          <w:szCs w:val="24"/>
        </w:rPr>
        <w:t>. Cette retenue provisoire de 1000 euros HT est appliquée sans mise en demeure préalable.</w:t>
      </w:r>
      <w:bookmarkStart w:id="32" w:name="PSOUSTRAINTANT"/>
      <w:bookmarkEnd w:id="32"/>
    </w:p>
    <w:p w14:paraId="6CFEAD06"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44 – Pénalités pour retard dans la remise des contrats de sous-traitance</w:t>
      </w:r>
    </w:p>
    <w:p w14:paraId="0140B68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titulaire est tenu de communiquer le contrat de sous-traitance et ses éventuels avenants à l'acheteur lorsque celui-ci en fait la demande. A défaut de l'avoir produit à l'échéance d'un délai de quinze jours courant à compter de la réception d'une mise en demeure de le faire par l'acheteur, le titulaire encourt une pénalité journalière de retard, telle que prévue à l'article 3.6.1.5 du CCAG-Travaux.</w:t>
      </w:r>
      <w:bookmarkStart w:id="33" w:name="RESIL"/>
      <w:bookmarkEnd w:id="33"/>
    </w:p>
    <w:p w14:paraId="2AA7B39C"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45 – Résiliation</w:t>
      </w:r>
    </w:p>
    <w:p w14:paraId="7EA23B9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Il est fait application des dispositions du CCAG-Travaux sur la résiliation.</w:t>
      </w:r>
    </w:p>
    <w:p w14:paraId="30D505FB"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 xml:space="preserve">Article 45.1 – Cas de résiliations prévus par le Code de la commande publique </w:t>
      </w:r>
    </w:p>
    <w:p w14:paraId="775342A0"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Pour rappel, conformément au code de la commande publique, en complément des cas de résiliation prévus par le CCAG, l'acheteur peut résilier le marché :</w:t>
      </w:r>
    </w:p>
    <w:p w14:paraId="502FE92A"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lorsque</w:t>
      </w:r>
      <w:proofErr w:type="gramEnd"/>
      <w:r>
        <w:rPr>
          <w:rFonts w:ascii="Times New Roman" w:hAnsi="Times New Roman" w:cs="Times New Roman"/>
          <w:sz w:val="20"/>
          <w:szCs w:val="24"/>
        </w:rPr>
        <w:t xml:space="preserve"> le titulaire est, au cours de l'exécution du marché, placé dans l'un des cas d'exclusion mentionné aux articles L. 2141-1 à L. 2141-11, conformément à l'article L2195-4 du code de la commande publique.</w:t>
      </w:r>
    </w:p>
    <w:p w14:paraId="5910BF9B"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lorsque</w:t>
      </w:r>
      <w:proofErr w:type="gramEnd"/>
      <w:r>
        <w:rPr>
          <w:rFonts w:ascii="Times New Roman" w:hAnsi="Times New Roman" w:cs="Times New Roman"/>
          <w:sz w:val="20"/>
          <w:szCs w:val="24"/>
        </w:rPr>
        <w:t xml:space="preserve"> celui-ci n'aurait pas dû être attribué à un opérateur économique en raison d'un manquement grave aux obligations prévues par le droit de l'Union européenne en matière de marchés qui a été reconnu par la Cour de justice de l'Union européenne, en vertu de l'article L2195-5 du code de la commande publique.</w:t>
      </w:r>
    </w:p>
    <w:p w14:paraId="729384DB" w14:textId="77777777" w:rsidR="00112670" w:rsidRDefault="00112670" w:rsidP="00EC136F">
      <w:pPr>
        <w:numPr>
          <w:ilvl w:val="0"/>
          <w:numId w:val="1"/>
        </w:numPr>
        <w:autoSpaceDE w:val="0"/>
        <w:autoSpaceDN w:val="0"/>
        <w:adjustRightInd w:val="0"/>
        <w:spacing w:after="0" w:line="240" w:lineRule="auto"/>
        <w:ind w:left="580" w:hanging="250"/>
        <w:jc w:val="both"/>
        <w:rPr>
          <w:rFonts w:ascii="Times New Roman" w:hAnsi="Times New Roman" w:cs="Times New Roman"/>
          <w:sz w:val="20"/>
          <w:szCs w:val="24"/>
        </w:rPr>
      </w:pPr>
      <w:proofErr w:type="gramStart"/>
      <w:r>
        <w:rPr>
          <w:rFonts w:ascii="Times New Roman" w:hAnsi="Times New Roman" w:cs="Times New Roman"/>
          <w:sz w:val="20"/>
          <w:szCs w:val="24"/>
        </w:rPr>
        <w:t>lorsque</w:t>
      </w:r>
      <w:proofErr w:type="gramEnd"/>
      <w:r>
        <w:rPr>
          <w:rFonts w:ascii="Times New Roman" w:hAnsi="Times New Roman" w:cs="Times New Roman"/>
          <w:sz w:val="20"/>
          <w:szCs w:val="24"/>
        </w:rPr>
        <w:t xml:space="preserve"> l'exécution du contrat ne peut être poursuivie sans une modification contraire aux dispositions prévues par l'article L2194-1, en vertu de l'article L2195-6 du code de la commande publique.</w:t>
      </w:r>
    </w:p>
    <w:p w14:paraId="205CC6D0"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 xml:space="preserve">Article 45.2 – Résiliation en vertu du code du travail pour travail dissimulé </w:t>
      </w:r>
    </w:p>
    <w:p w14:paraId="2243D9C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Conformément à l'article L8222-6 du code du </w:t>
      </w:r>
      <w:proofErr w:type="gramStart"/>
      <w:r>
        <w:rPr>
          <w:rFonts w:ascii="Times New Roman" w:hAnsi="Times New Roman" w:cs="Times New Roman"/>
          <w:sz w:val="20"/>
          <w:szCs w:val="24"/>
        </w:rPr>
        <w:t>travail ,</w:t>
      </w:r>
      <w:proofErr w:type="gramEnd"/>
      <w:r>
        <w:rPr>
          <w:rFonts w:ascii="Times New Roman" w:hAnsi="Times New Roman" w:cs="Times New Roman"/>
          <w:sz w:val="20"/>
          <w:szCs w:val="24"/>
        </w:rPr>
        <w:t xml:space="preserve"> </w:t>
      </w:r>
      <w:proofErr w:type="gramStart"/>
      <w:r>
        <w:rPr>
          <w:rFonts w:ascii="Times New Roman" w:hAnsi="Times New Roman" w:cs="Times New Roman"/>
          <w:sz w:val="20"/>
          <w:szCs w:val="24"/>
        </w:rPr>
        <w:t>suite au</w:t>
      </w:r>
      <w:proofErr w:type="gramEnd"/>
      <w:r>
        <w:rPr>
          <w:rFonts w:ascii="Times New Roman" w:hAnsi="Times New Roman" w:cs="Times New Roman"/>
          <w:sz w:val="20"/>
          <w:szCs w:val="24"/>
        </w:rPr>
        <w:t xml:space="preserve"> signalement fait au maître d'ouvrage d'une situation irrégulière de l'opérateur économique au regard du travail dissimulé, celui-ci est mise en demeure d'apporter au </w:t>
      </w:r>
      <w:r>
        <w:rPr>
          <w:rFonts w:ascii="Times New Roman" w:hAnsi="Times New Roman" w:cs="Times New Roman"/>
          <w:sz w:val="20"/>
          <w:szCs w:val="24"/>
        </w:rPr>
        <w:lastRenderedPageBreak/>
        <w:t>maître d'ouvrage, dans un délai de deux mois, la preuve qu'il a mis fin à la situation délictuelle. A défaut, le contrat peut être rompu sans indemnité, aux frais et risques de l'opérateur économique.</w:t>
      </w:r>
    </w:p>
    <w:p w14:paraId="20067452" w14:textId="77777777" w:rsidR="00112670" w:rsidRDefault="00112670">
      <w:pPr>
        <w:autoSpaceDE w:val="0"/>
        <w:autoSpaceDN w:val="0"/>
        <w:adjustRightInd w:val="0"/>
        <w:spacing w:before="150" w:after="150" w:line="240" w:lineRule="auto"/>
        <w:ind w:left="225"/>
        <w:rPr>
          <w:rFonts w:ascii="Times New Roman" w:hAnsi="Times New Roman" w:cs="Times New Roman"/>
          <w:bCs/>
          <w:i/>
          <w:iCs/>
          <w:sz w:val="24"/>
          <w:szCs w:val="24"/>
        </w:rPr>
      </w:pPr>
      <w:r>
        <w:rPr>
          <w:rFonts w:ascii="Times New Roman" w:hAnsi="Times New Roman" w:cs="Times New Roman"/>
          <w:bCs/>
          <w:i/>
          <w:iCs/>
          <w:sz w:val="24"/>
          <w:szCs w:val="24"/>
        </w:rPr>
        <w:t>Article 45.3 – Résiliation pour motif d'intérêt général</w:t>
      </w:r>
    </w:p>
    <w:p w14:paraId="32A93D2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Le taux de l'indemnité versée </w:t>
      </w:r>
      <w:proofErr w:type="gramStart"/>
      <w:r>
        <w:rPr>
          <w:rFonts w:ascii="Times New Roman" w:hAnsi="Times New Roman" w:cs="Times New Roman"/>
          <w:sz w:val="20"/>
          <w:szCs w:val="24"/>
        </w:rPr>
        <w:t>au titulaire appliquée</w:t>
      </w:r>
      <w:proofErr w:type="gramEnd"/>
      <w:r>
        <w:rPr>
          <w:rFonts w:ascii="Times New Roman" w:hAnsi="Times New Roman" w:cs="Times New Roman"/>
          <w:sz w:val="20"/>
          <w:szCs w:val="24"/>
        </w:rPr>
        <w:t xml:space="preserve"> sur le montant hors taxe de la partie résiliée du marché est de 5 %.</w:t>
      </w:r>
      <w:bookmarkStart w:id="34" w:name="FRAIST"/>
      <w:bookmarkEnd w:id="34"/>
    </w:p>
    <w:p w14:paraId="219B4F45"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46 – Poursuite des travaux aux frais et risques du titulaire</w:t>
      </w:r>
    </w:p>
    <w:p w14:paraId="5E3CBE97"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Conformément à l'article 52.1, 52.2 et 52.3 du CCAG-Travaux, lorsque le titulaire ne se conforme pas aux dispositions du marché ou aux ordres de service, le représentant du pouvoir adjudicateur le met en demeure d'y satisfaire, dans un délai déterminé, par une décision qui lui est notifiée par écrit.</w:t>
      </w:r>
    </w:p>
    <w:p w14:paraId="5B688D5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Ce délai, sauf pour les marchés intéressant la défense ou en cas d'urgence, n'est pas inférieur à quinze jours à compter de la date de notification de la mise en demeure. Si le titulaire n'a pas déféré à la mise en demeure, peuvent être ordonnées soit la poursuite des travaux à ses frais et risques, soit la résiliation du marché à ses torts exclusifs.</w:t>
      </w:r>
    </w:p>
    <w:p w14:paraId="5503C87B"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47 – Attribution de compétence</w:t>
      </w:r>
    </w:p>
    <w:p w14:paraId="0D2EEA28"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Le Tribunal Administratif d'Amiens est compétent pour tout litige concernant la passation ou l'exécution de ce marché.</w:t>
      </w:r>
    </w:p>
    <w:p w14:paraId="5BD9C158" w14:textId="77777777" w:rsidR="00112670" w:rsidRDefault="00112670">
      <w:pPr>
        <w:autoSpaceDE w:val="0"/>
        <w:autoSpaceDN w:val="0"/>
        <w:adjustRightInd w:val="0"/>
        <w:spacing w:before="225" w:after="225" w:line="240" w:lineRule="auto"/>
        <w:rPr>
          <w:rFonts w:ascii="Times New Roman" w:hAnsi="Times New Roman" w:cs="Times New Roman"/>
          <w:bCs/>
          <w:sz w:val="24"/>
          <w:szCs w:val="24"/>
        </w:rPr>
      </w:pPr>
      <w:r>
        <w:rPr>
          <w:rFonts w:ascii="Times New Roman" w:hAnsi="Times New Roman" w:cs="Times New Roman"/>
          <w:bCs/>
          <w:sz w:val="24"/>
          <w:szCs w:val="24"/>
        </w:rPr>
        <w:t>Article 48 – Dérogations</w:t>
      </w:r>
    </w:p>
    <w:p w14:paraId="4BDB2B61"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6 - Documents contractuels déroge à l'article 4.1 du CCAG-Travaux.</w:t>
      </w:r>
    </w:p>
    <w:p w14:paraId="321BFCFC"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12 - Période de préparation déroge à l'article 28.1 du CCAG-Travaux.</w:t>
      </w:r>
    </w:p>
    <w:p w14:paraId="76C513BB"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17 - 1 - ajournement des travaux pour découverte de réseaux enterrés déroge à l'article 27.3.3 du CCAG-Travaux.</w:t>
      </w:r>
    </w:p>
    <w:p w14:paraId="0192D204"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17 - Piquetage spécial déroge à l'article 27.3 du CCAG-Travaux.</w:t>
      </w:r>
    </w:p>
    <w:p w14:paraId="788F9846"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23 - Registre chantier déroge à l'article 28.5 du CCAG-Travaux.</w:t>
      </w:r>
    </w:p>
    <w:p w14:paraId="37D1B7CF" w14:textId="77777777" w:rsidR="00112670" w:rsidRDefault="00112670">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L'article 40 - Pénalités pour absence aux réunions déroge à l'article 52.1 du CCAG-Travaux.</w:t>
      </w:r>
    </w:p>
    <w:sectPr w:rsidR="00112670" w:rsidSect="00316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184DF6C"/>
    <w:lvl w:ilvl="0">
      <w:numFmt w:val="bullet"/>
      <w:lvlText w:val="*"/>
      <w:lvlJc w:val="left"/>
    </w:lvl>
  </w:abstractNum>
  <w:num w:numId="1" w16cid:durableId="1847401027">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21"/>
    <w:rsid w:val="000052F4"/>
    <w:rsid w:val="00047F1E"/>
    <w:rsid w:val="0006584D"/>
    <w:rsid w:val="00071671"/>
    <w:rsid w:val="00071EC1"/>
    <w:rsid w:val="00111F8E"/>
    <w:rsid w:val="00112670"/>
    <w:rsid w:val="00157268"/>
    <w:rsid w:val="00217333"/>
    <w:rsid w:val="00316E92"/>
    <w:rsid w:val="00345E19"/>
    <w:rsid w:val="00383C31"/>
    <w:rsid w:val="003B0E35"/>
    <w:rsid w:val="004B08F0"/>
    <w:rsid w:val="00523EB6"/>
    <w:rsid w:val="00546478"/>
    <w:rsid w:val="005B643D"/>
    <w:rsid w:val="005D118C"/>
    <w:rsid w:val="006018A5"/>
    <w:rsid w:val="00741050"/>
    <w:rsid w:val="007732C0"/>
    <w:rsid w:val="007A6125"/>
    <w:rsid w:val="007B43C3"/>
    <w:rsid w:val="007C5F6D"/>
    <w:rsid w:val="007C6661"/>
    <w:rsid w:val="007D453B"/>
    <w:rsid w:val="00821830"/>
    <w:rsid w:val="008800B1"/>
    <w:rsid w:val="008C78C7"/>
    <w:rsid w:val="008D1F5A"/>
    <w:rsid w:val="009913F2"/>
    <w:rsid w:val="009A722F"/>
    <w:rsid w:val="009B4183"/>
    <w:rsid w:val="00A073DD"/>
    <w:rsid w:val="00A4394D"/>
    <w:rsid w:val="00AA1D2E"/>
    <w:rsid w:val="00AD34A2"/>
    <w:rsid w:val="00B361C2"/>
    <w:rsid w:val="00BD04D0"/>
    <w:rsid w:val="00C359EF"/>
    <w:rsid w:val="00CE4C21"/>
    <w:rsid w:val="00D00868"/>
    <w:rsid w:val="00D872B4"/>
    <w:rsid w:val="00DD2E80"/>
    <w:rsid w:val="00E52643"/>
    <w:rsid w:val="00E66D62"/>
    <w:rsid w:val="00EC136F"/>
    <w:rsid w:val="00EC1E5C"/>
    <w:rsid w:val="00EF3EC3"/>
    <w:rsid w:val="00FF24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DFEAE9"/>
  <w14:defaultImageDpi w14:val="0"/>
  <w15:docId w15:val="{95AE1858-F50C-364D-A521-F2D55641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544E663AC80C4DAA09C6345ED88E6D" ma:contentTypeVersion="19" ma:contentTypeDescription="Crée un document." ma:contentTypeScope="" ma:versionID="75188f3eba88644bb36e948b69310555">
  <xsd:schema xmlns:xsd="http://www.w3.org/2001/XMLSchema" xmlns:xs="http://www.w3.org/2001/XMLSchema" xmlns:p="http://schemas.microsoft.com/office/2006/metadata/properties" xmlns:ns2="f3f94ec8-1dfd-4c46-bd87-963d4f74876b" xmlns:ns3="534cd3af-974d-4817-b445-b80af09b3bd7" targetNamespace="http://schemas.microsoft.com/office/2006/metadata/properties" ma:root="true" ma:fieldsID="4bb53ba0c8cf2ed8690f46397a727b97" ns2:_="" ns3:_="">
    <xsd:import namespace="f3f94ec8-1dfd-4c46-bd87-963d4f74876b"/>
    <xsd:import namespace="534cd3af-974d-4817-b445-b80af09b3b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f94ec8-1dfd-4c46-bd87-963d4f748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b90e85a-62b9-42e7-8978-23d626e386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4cd3af-974d-4817-b445-b80af09b3bd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2cb8979-315c-458f-98a9-1681986c3f55}" ma:internalName="TaxCatchAll" ma:showField="CatchAllData" ma:web="534cd3af-974d-4817-b445-b80af09b3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34cd3af-974d-4817-b445-b80af09b3bd7" xsi:nil="true"/>
    <lcf76f155ced4ddcb4097134ff3c332f xmlns="f3f94ec8-1dfd-4c46-bd87-963d4f7487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B7C101-96BD-4CF2-A599-DFC510DBEA37}">
  <ds:schemaRefs>
    <ds:schemaRef ds:uri="http://schemas.microsoft.com/sharepoint/v3/contenttype/forms"/>
  </ds:schemaRefs>
</ds:datastoreItem>
</file>

<file path=customXml/itemProps2.xml><?xml version="1.0" encoding="utf-8"?>
<ds:datastoreItem xmlns:ds="http://schemas.openxmlformats.org/officeDocument/2006/customXml" ds:itemID="{D59DBC6C-FB1C-41BC-AAE9-B31BEED9C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f94ec8-1dfd-4c46-bd87-963d4f74876b"/>
    <ds:schemaRef ds:uri="534cd3af-974d-4817-b445-b80af09b3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E77F5-A49E-4501-8547-BC62283E25FE}">
  <ds:schemaRefs>
    <ds:schemaRef ds:uri="http://schemas.microsoft.com/office/2006/metadata/properties"/>
    <ds:schemaRef ds:uri="http://schemas.microsoft.com/office/infopath/2007/PartnerControls"/>
    <ds:schemaRef ds:uri="534cd3af-974d-4817-b445-b80af09b3bd7"/>
    <ds:schemaRef ds:uri="f3f94ec8-1dfd-4c46-bd87-963d4f74876b"/>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5288</Words>
  <Characters>29090</Characters>
  <Application>Microsoft Office Word</Application>
  <DocSecurity>0</DocSecurity>
  <Lines>242</Lines>
  <Paragraphs>68</Paragraphs>
  <ScaleCrop>false</ScaleCrop>
  <Company>Berger-Levrault</Company>
  <LinksUpToDate>false</LinksUpToDate>
  <CharactersWithSpaces>34310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@PersonneMoraleNom@</dc:title>
  <dc:subject/>
  <dc:creator>Administrateur</dc:creator>
  <cp:keywords/>
  <dc:description>Created by the HTML-to-RTF Pro DLL .Net 5.1.10.31</dc:description>
  <cp:lastModifiedBy>Didier TROUX</cp:lastModifiedBy>
  <cp:revision>3</cp:revision>
  <dcterms:created xsi:type="dcterms:W3CDTF">2026-03-11T17:38:00Z</dcterms:created>
  <dcterms:modified xsi:type="dcterms:W3CDTF">2026-03-12T09:11:00Z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0x010100FA544E663AC80C4DAA09C6345ED88E6D</vt:lpwstr>
  </property>
  <property fmtid="{D5CDD505-2E9C-101B-9397-08002B2CF9AE}" pid="3" name="MediaServiceImageTags">
    <vt:lpwstr/>
  </property>
</Properties>
</file>