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036B8" w14:textId="0780A07A" w:rsidR="00FF3123" w:rsidRDefault="00FF3123" w:rsidP="0071328B">
      <w:pPr>
        <w:spacing w:after="0"/>
        <w:jc w:val="center"/>
        <w:rPr>
          <w:bCs/>
        </w:rPr>
      </w:pPr>
      <w:r w:rsidRPr="00164317">
        <w:rPr>
          <w:b/>
          <w:u w:val="single"/>
        </w:rPr>
        <w:t xml:space="preserve">PROJET PUBLICITE APPEL A </w:t>
      </w:r>
      <w:r>
        <w:rPr>
          <w:b/>
          <w:u w:val="single"/>
        </w:rPr>
        <w:t>MANIFESTATION D’INTERÊT – OMBRIERES PHOTOVOLTAIQUE – MULTIPLES SITES DE L’AGGLOMERATION DE COMMUNE DE NÎMES METROPOLE</w:t>
      </w:r>
    </w:p>
    <w:p w14:paraId="4A3F0219" w14:textId="7C8D01E7" w:rsidR="00FF3123" w:rsidRPr="00784D9B" w:rsidRDefault="004C6D66" w:rsidP="004C6D66">
      <w:pPr>
        <w:spacing w:after="0"/>
        <w:jc w:val="center"/>
        <w:rPr>
          <w:rFonts w:ascii="Arial" w:hAnsi="Arial" w:cs="Arial"/>
          <w:i/>
          <w:iCs/>
          <w:color w:val="EE0000"/>
          <w:sz w:val="22"/>
          <w:szCs w:val="22"/>
          <w:u w:val="single"/>
        </w:rPr>
      </w:pPr>
      <w:r w:rsidRPr="00784D9B">
        <w:rPr>
          <w:rFonts w:ascii="Arial" w:hAnsi="Arial" w:cs="Arial"/>
          <w:i/>
          <w:iCs/>
          <w:color w:val="EE0000"/>
          <w:sz w:val="22"/>
          <w:szCs w:val="22"/>
          <w:u w:val="single"/>
        </w:rPr>
        <w:t xml:space="preserve">Date limite de remise des projets : </w:t>
      </w:r>
      <w:r w:rsidR="00D1167D">
        <w:rPr>
          <w:rFonts w:ascii="Arial" w:hAnsi="Arial" w:cs="Arial"/>
          <w:i/>
          <w:iCs/>
          <w:color w:val="EE0000"/>
          <w:sz w:val="22"/>
          <w:szCs w:val="22"/>
          <w:u w:val="single"/>
        </w:rPr>
        <w:t>08 juin</w:t>
      </w:r>
      <w:r w:rsidRPr="00784D9B">
        <w:rPr>
          <w:rFonts w:ascii="Arial" w:hAnsi="Arial" w:cs="Arial"/>
          <w:i/>
          <w:iCs/>
          <w:color w:val="EE0000"/>
          <w:sz w:val="22"/>
          <w:szCs w:val="22"/>
          <w:u w:val="single"/>
        </w:rPr>
        <w:t xml:space="preserve"> 2026 12h00</w:t>
      </w:r>
    </w:p>
    <w:p w14:paraId="6B0A6FEF" w14:textId="77777777" w:rsidR="00DD18DD" w:rsidRDefault="00DD18DD" w:rsidP="00FF3123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4622C9D8" w14:textId="1721346C" w:rsidR="00DD18DD" w:rsidRPr="00AB6650" w:rsidRDefault="00DD18DD" w:rsidP="00DD18DD">
      <w:pPr>
        <w:pStyle w:val="Paragraphedeliste"/>
        <w:numPr>
          <w:ilvl w:val="0"/>
          <w:numId w:val="1"/>
        </w:numPr>
        <w:spacing w:after="0"/>
        <w:rPr>
          <w:b/>
          <w:bCs/>
        </w:rPr>
      </w:pPr>
      <w:r w:rsidRPr="00AB6650">
        <w:rPr>
          <w:b/>
          <w:bCs/>
        </w:rPr>
        <w:t xml:space="preserve">Contexte général et </w:t>
      </w:r>
      <w:r w:rsidR="00851D83">
        <w:rPr>
          <w:b/>
          <w:bCs/>
        </w:rPr>
        <w:t>objet</w:t>
      </w:r>
      <w:r w:rsidRPr="00AB6650">
        <w:rPr>
          <w:b/>
          <w:bCs/>
        </w:rPr>
        <w:t xml:space="preserve"> de l’Appel à Manifestation d’Intérêt</w:t>
      </w:r>
    </w:p>
    <w:p w14:paraId="5BBB81B1" w14:textId="77777777" w:rsidR="00DD18DD" w:rsidRDefault="00DD18DD" w:rsidP="00DD18DD">
      <w:pPr>
        <w:spacing w:after="0"/>
      </w:pPr>
    </w:p>
    <w:p w14:paraId="406AFAA2" w14:textId="2443EE0B" w:rsidR="00FF3123" w:rsidRPr="0071328B" w:rsidRDefault="00FF3123" w:rsidP="00FF3123">
      <w:pPr>
        <w:spacing w:after="0"/>
        <w:jc w:val="both"/>
        <w:rPr>
          <w:rFonts w:ascii="Arial" w:hAnsi="Arial" w:cs="Arial"/>
          <w:sz w:val="22"/>
          <w:szCs w:val="22"/>
        </w:rPr>
      </w:pPr>
      <w:r w:rsidRPr="007C418B">
        <w:rPr>
          <w:rFonts w:ascii="Arial" w:hAnsi="Arial" w:cs="Arial"/>
          <w:sz w:val="22"/>
          <w:szCs w:val="22"/>
        </w:rPr>
        <w:t>La Communauté d’Agglomération Nîmes Métropole s’est engagée depuis 2010 dans une politique ambitieuse de transition énergétique et de développement des énergies renouvelables.</w:t>
      </w:r>
      <w:r w:rsidR="0071328B">
        <w:rPr>
          <w:rFonts w:ascii="Arial" w:hAnsi="Arial" w:cs="Arial"/>
          <w:sz w:val="22"/>
          <w:szCs w:val="22"/>
        </w:rPr>
        <w:t> </w:t>
      </w:r>
      <w:r w:rsidRPr="007C418B">
        <w:rPr>
          <w:rFonts w:ascii="Arial" w:eastAsiaTheme="majorEastAsia" w:hAnsi="Arial" w:cs="Arial"/>
          <w:sz w:val="22"/>
          <w:szCs w:val="22"/>
        </w:rPr>
        <w:t>Dans le cadre de sa stratégie globale d’éco-métropole, Nîmes Métropole met en œuvre une politique de réduction des émissions de gaz à effet de serre et de production d’énergie locale, décarbonée et durable.</w:t>
      </w:r>
    </w:p>
    <w:p w14:paraId="1027D423" w14:textId="77777777" w:rsidR="00FF3123" w:rsidRPr="007C418B" w:rsidRDefault="00FF3123" w:rsidP="00FF3123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2FF4266D" w14:textId="01A2886B" w:rsidR="00DD18DD" w:rsidRPr="00851D83" w:rsidRDefault="00FF3123" w:rsidP="00851D83">
      <w:pPr>
        <w:spacing w:after="0"/>
        <w:jc w:val="both"/>
        <w:rPr>
          <w:rFonts w:ascii="Arial" w:hAnsi="Arial" w:cs="Arial"/>
          <w:sz w:val="22"/>
          <w:szCs w:val="22"/>
        </w:rPr>
      </w:pPr>
      <w:r w:rsidRPr="007C418B">
        <w:rPr>
          <w:rFonts w:ascii="Arial" w:hAnsi="Arial" w:cs="Arial"/>
          <w:sz w:val="22"/>
          <w:szCs w:val="22"/>
        </w:rPr>
        <w:t>En outre, La loi n° 2023</w:t>
      </w:r>
      <w:r w:rsidRPr="007C418B">
        <w:rPr>
          <w:rFonts w:ascii="Cambria Math" w:hAnsi="Cambria Math" w:cs="Cambria Math"/>
          <w:sz w:val="22"/>
          <w:szCs w:val="22"/>
        </w:rPr>
        <w:t>‑</w:t>
      </w:r>
      <w:r w:rsidRPr="007C418B">
        <w:rPr>
          <w:rFonts w:ascii="Arial" w:hAnsi="Arial" w:cs="Arial"/>
          <w:sz w:val="22"/>
          <w:szCs w:val="22"/>
        </w:rPr>
        <w:t>175 du 10 mars 2023, dite loi APER, impose une accélération massive du déploiement des énergies renouvelables et introduit des obligations spécifiques concernant la solarisation des parkings extérieurs.</w:t>
      </w:r>
    </w:p>
    <w:p w14:paraId="66B8E715" w14:textId="77777777" w:rsidR="00FF3123" w:rsidRPr="007C418B" w:rsidRDefault="00FF3123" w:rsidP="00FF3123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2446ACB0" w14:textId="56E1C05B" w:rsidR="00FF3123" w:rsidRDefault="00FF3123" w:rsidP="00FF3123">
      <w:pPr>
        <w:spacing w:after="0"/>
        <w:jc w:val="both"/>
        <w:rPr>
          <w:rFonts w:ascii="Arial" w:hAnsi="Arial" w:cs="Arial"/>
          <w:sz w:val="22"/>
          <w:szCs w:val="22"/>
        </w:rPr>
      </w:pPr>
      <w:r w:rsidRPr="00D0129B">
        <w:rPr>
          <w:rFonts w:ascii="Arial" w:hAnsi="Arial" w:cs="Arial"/>
          <w:sz w:val="22"/>
          <w:szCs w:val="22"/>
        </w:rPr>
        <w:t xml:space="preserve">Dans ce contexte, </w:t>
      </w:r>
      <w:r w:rsidRPr="00FF3123">
        <w:rPr>
          <w:rFonts w:ascii="Arial" w:hAnsi="Arial" w:cs="Arial"/>
          <w:sz w:val="22"/>
          <w:szCs w:val="22"/>
        </w:rPr>
        <w:t xml:space="preserve">Nîmes Métropole lance </w:t>
      </w:r>
      <w:r w:rsidR="0071328B">
        <w:rPr>
          <w:rFonts w:ascii="Arial" w:hAnsi="Arial" w:cs="Arial"/>
          <w:sz w:val="22"/>
          <w:szCs w:val="22"/>
        </w:rPr>
        <w:t>cet</w:t>
      </w:r>
      <w:r w:rsidRPr="00FF3123">
        <w:rPr>
          <w:rFonts w:ascii="Arial" w:hAnsi="Arial" w:cs="Arial"/>
          <w:sz w:val="22"/>
          <w:szCs w:val="22"/>
        </w:rPr>
        <w:t xml:space="preserve"> appel à manifestation d’intérêt (AMI) afin de retenir un opérateur économique unique </w:t>
      </w:r>
      <w:r w:rsidR="00F20C04">
        <w:rPr>
          <w:rFonts w:ascii="Arial" w:hAnsi="Arial" w:cs="Arial"/>
          <w:sz w:val="22"/>
          <w:szCs w:val="22"/>
        </w:rPr>
        <w:t>auquel sera octroyé un titre d’occupation domanial</w:t>
      </w:r>
      <w:r w:rsidR="009517A3">
        <w:rPr>
          <w:rFonts w:ascii="Arial" w:hAnsi="Arial" w:cs="Arial"/>
          <w:sz w:val="22"/>
          <w:szCs w:val="22"/>
        </w:rPr>
        <w:t>e</w:t>
      </w:r>
      <w:r w:rsidRPr="00FF3123">
        <w:rPr>
          <w:rFonts w:ascii="Arial" w:hAnsi="Arial" w:cs="Arial"/>
          <w:sz w:val="22"/>
          <w:szCs w:val="22"/>
        </w:rPr>
        <w:t xml:space="preserve"> </w:t>
      </w:r>
      <w:r w:rsidR="00F20C04">
        <w:rPr>
          <w:rFonts w:ascii="Arial" w:hAnsi="Arial" w:cs="Arial"/>
          <w:sz w:val="22"/>
          <w:szCs w:val="22"/>
        </w:rPr>
        <w:t xml:space="preserve">permettant </w:t>
      </w:r>
      <w:r w:rsidRPr="00FF3123">
        <w:rPr>
          <w:rFonts w:ascii="Arial" w:hAnsi="Arial" w:cs="Arial"/>
          <w:sz w:val="22"/>
          <w:szCs w:val="22"/>
        </w:rPr>
        <w:t>de réaliser</w:t>
      </w:r>
      <w:r w:rsidR="00F20C04">
        <w:rPr>
          <w:rFonts w:ascii="Arial" w:hAnsi="Arial" w:cs="Arial"/>
          <w:sz w:val="22"/>
          <w:szCs w:val="22"/>
        </w:rPr>
        <w:t xml:space="preserve"> et</w:t>
      </w:r>
      <w:r w:rsidRPr="00FF3123">
        <w:rPr>
          <w:rFonts w:ascii="Arial" w:hAnsi="Arial" w:cs="Arial"/>
          <w:sz w:val="22"/>
          <w:szCs w:val="22"/>
        </w:rPr>
        <w:t xml:space="preserve"> exploiter des centrales photovoltaïques</w:t>
      </w:r>
      <w:r w:rsidR="009517A3">
        <w:rPr>
          <w:rFonts w:ascii="Arial" w:hAnsi="Arial" w:cs="Arial"/>
          <w:sz w:val="22"/>
          <w:szCs w:val="22"/>
        </w:rPr>
        <w:t xml:space="preserve"> de type ombrières</w:t>
      </w:r>
      <w:r w:rsidRPr="00FF3123">
        <w:rPr>
          <w:rFonts w:ascii="Arial" w:hAnsi="Arial" w:cs="Arial"/>
          <w:sz w:val="22"/>
          <w:szCs w:val="22"/>
        </w:rPr>
        <w:t xml:space="preserve"> sur divers sites de Nîmes Métropole.</w:t>
      </w:r>
    </w:p>
    <w:p w14:paraId="28EDC8F3" w14:textId="77777777" w:rsidR="0071328B" w:rsidRDefault="0071328B" w:rsidP="00FF3123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0E96A928" w14:textId="4B27F08B" w:rsidR="00DD18DD" w:rsidRPr="00AB6650" w:rsidRDefault="00DD18DD" w:rsidP="00DD18DD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AB6650">
        <w:rPr>
          <w:rFonts w:ascii="Arial" w:hAnsi="Arial" w:cs="Arial"/>
          <w:b/>
          <w:bCs/>
          <w:sz w:val="22"/>
          <w:szCs w:val="22"/>
        </w:rPr>
        <w:t xml:space="preserve">Etendue </w:t>
      </w:r>
    </w:p>
    <w:p w14:paraId="068CC5B5" w14:textId="77777777" w:rsidR="00DD18DD" w:rsidRPr="00DD18DD" w:rsidRDefault="00DD18DD" w:rsidP="00DD18DD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11EBBA54" w14:textId="2CB22911" w:rsidR="00AB6650" w:rsidRDefault="00AB6650" w:rsidP="00AB6650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 sites </w:t>
      </w:r>
      <w:r w:rsidR="00F20C04">
        <w:rPr>
          <w:rFonts w:ascii="Arial" w:hAnsi="Arial" w:cs="Arial"/>
          <w:sz w:val="22"/>
          <w:szCs w:val="22"/>
        </w:rPr>
        <w:t>s’inscrivent dans le périmètre de</w:t>
      </w:r>
      <w:r>
        <w:rPr>
          <w:rFonts w:ascii="Arial" w:hAnsi="Arial" w:cs="Arial"/>
          <w:sz w:val="22"/>
          <w:szCs w:val="22"/>
        </w:rPr>
        <w:t xml:space="preserve"> </w:t>
      </w:r>
      <w:r w:rsidR="00F20C04">
        <w:rPr>
          <w:rFonts w:ascii="Arial" w:hAnsi="Arial" w:cs="Arial"/>
          <w:sz w:val="22"/>
          <w:szCs w:val="22"/>
        </w:rPr>
        <w:t>cet appel à manifestation d’intérêt</w:t>
      </w:r>
      <w:r>
        <w:rPr>
          <w:rFonts w:ascii="Arial" w:hAnsi="Arial" w:cs="Arial"/>
          <w:sz w:val="22"/>
          <w:szCs w:val="22"/>
        </w:rPr>
        <w:t>. La description est les contraintes inhérentes à chaque sites sont à retrouver au sein du cahier des charges du présent AMI.</w:t>
      </w:r>
      <w:r w:rsidR="007328AF">
        <w:rPr>
          <w:rFonts w:ascii="Arial" w:hAnsi="Arial" w:cs="Arial"/>
          <w:sz w:val="22"/>
          <w:szCs w:val="22"/>
        </w:rPr>
        <w:t xml:space="preserve"> La surface total</w:t>
      </w:r>
      <w:r w:rsidR="00C652DC">
        <w:rPr>
          <w:rFonts w:ascii="Arial" w:hAnsi="Arial" w:cs="Arial"/>
          <w:sz w:val="22"/>
          <w:szCs w:val="22"/>
        </w:rPr>
        <w:t xml:space="preserve">e </w:t>
      </w:r>
      <w:r w:rsidR="00575DA6">
        <w:rPr>
          <w:rFonts w:ascii="Arial" w:hAnsi="Arial" w:cs="Arial"/>
          <w:sz w:val="22"/>
          <w:szCs w:val="22"/>
        </w:rPr>
        <w:t>répartie entre les</w:t>
      </w:r>
      <w:r w:rsidR="00653395">
        <w:rPr>
          <w:rFonts w:ascii="Arial" w:hAnsi="Arial" w:cs="Arial"/>
          <w:sz w:val="22"/>
          <w:szCs w:val="22"/>
        </w:rPr>
        <w:t xml:space="preserve"> 8 sites est d’</w:t>
      </w:r>
      <w:r w:rsidR="00142E76">
        <w:rPr>
          <w:rFonts w:ascii="Arial" w:hAnsi="Arial" w:cs="Arial"/>
          <w:sz w:val="22"/>
          <w:szCs w:val="22"/>
        </w:rPr>
        <w:t>environ</w:t>
      </w:r>
      <w:r w:rsidR="00653395">
        <w:rPr>
          <w:rFonts w:ascii="Arial" w:hAnsi="Arial" w:cs="Arial"/>
          <w:sz w:val="22"/>
          <w:szCs w:val="22"/>
        </w:rPr>
        <w:t xml:space="preserve"> </w:t>
      </w:r>
      <w:r w:rsidR="00142E76">
        <w:rPr>
          <w:rFonts w:ascii="Arial" w:hAnsi="Arial" w:cs="Arial"/>
          <w:sz w:val="22"/>
          <w:szCs w:val="22"/>
        </w:rPr>
        <w:t>27 000m</w:t>
      </w:r>
      <w:r w:rsidR="00575DA6">
        <w:t>²</w:t>
      </w:r>
      <w:r w:rsidR="00BD5CDD">
        <w:t xml:space="preserve">. </w:t>
      </w:r>
    </w:p>
    <w:p w14:paraId="17EC8AED" w14:textId="77777777" w:rsidR="00AB6650" w:rsidRDefault="00AB6650" w:rsidP="00AB6650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64E947AE" w14:textId="7341992D" w:rsidR="004B4358" w:rsidRDefault="00DD18DD" w:rsidP="00FF3123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présente consultation </w:t>
      </w:r>
      <w:r w:rsidR="00A613D9">
        <w:rPr>
          <w:rFonts w:ascii="Arial" w:hAnsi="Arial" w:cs="Arial"/>
          <w:sz w:val="22"/>
          <w:szCs w:val="22"/>
        </w:rPr>
        <w:t>conduira à la conclusion avec le candidat attributaire</w:t>
      </w:r>
      <w:r>
        <w:rPr>
          <w:rFonts w:ascii="Arial" w:hAnsi="Arial" w:cs="Arial"/>
          <w:sz w:val="22"/>
          <w:szCs w:val="22"/>
        </w:rPr>
        <w:t xml:space="preserve"> d’une </w:t>
      </w:r>
      <w:r w:rsidR="009517A3">
        <w:rPr>
          <w:rFonts w:ascii="Arial" w:hAnsi="Arial" w:cs="Arial"/>
          <w:sz w:val="22"/>
          <w:szCs w:val="22"/>
        </w:rPr>
        <w:t>convention d’occupation domaniale</w:t>
      </w:r>
      <w:r w:rsidR="004B4358">
        <w:rPr>
          <w:rFonts w:ascii="Arial" w:hAnsi="Arial" w:cs="Arial"/>
          <w:sz w:val="22"/>
          <w:szCs w:val="22"/>
        </w:rPr>
        <w:t xml:space="preserve"> </w:t>
      </w:r>
      <w:r w:rsidR="00D44548">
        <w:rPr>
          <w:rFonts w:ascii="Arial" w:hAnsi="Arial" w:cs="Arial"/>
          <w:sz w:val="22"/>
          <w:szCs w:val="22"/>
        </w:rPr>
        <w:t xml:space="preserve">dont la durée </w:t>
      </w:r>
      <w:r w:rsidR="00A21E39">
        <w:rPr>
          <w:rFonts w:ascii="Arial" w:hAnsi="Arial" w:cs="Arial"/>
          <w:sz w:val="22"/>
          <w:szCs w:val="22"/>
        </w:rPr>
        <w:t>n’excédera</w:t>
      </w:r>
      <w:r w:rsidR="00D44548">
        <w:rPr>
          <w:rFonts w:ascii="Arial" w:hAnsi="Arial" w:cs="Arial"/>
          <w:sz w:val="22"/>
          <w:szCs w:val="22"/>
        </w:rPr>
        <w:t xml:space="preserve"> </w:t>
      </w:r>
      <w:r w:rsidR="00A21E39">
        <w:rPr>
          <w:rFonts w:ascii="Arial" w:hAnsi="Arial" w:cs="Arial"/>
          <w:sz w:val="22"/>
          <w:szCs w:val="22"/>
        </w:rPr>
        <w:t xml:space="preserve">pas </w:t>
      </w:r>
      <w:r w:rsidR="00D44548">
        <w:rPr>
          <w:rFonts w:ascii="Arial" w:hAnsi="Arial" w:cs="Arial"/>
          <w:sz w:val="22"/>
          <w:szCs w:val="22"/>
        </w:rPr>
        <w:t>40 ans.</w:t>
      </w:r>
    </w:p>
    <w:p w14:paraId="7D6E5CB2" w14:textId="77777777" w:rsidR="00782FFD" w:rsidRDefault="00782FFD" w:rsidP="00FF3123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60DE9D8B" w14:textId="2800C12A" w:rsidR="00AB6650" w:rsidRPr="00AB6650" w:rsidRDefault="00851D83" w:rsidP="00AB6650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</w:t>
      </w:r>
      <w:r w:rsidR="00AB6650" w:rsidRPr="00AB6650">
        <w:rPr>
          <w:rFonts w:ascii="Arial" w:hAnsi="Arial" w:cs="Arial"/>
          <w:b/>
          <w:bCs/>
          <w:sz w:val="22"/>
          <w:szCs w:val="22"/>
        </w:rPr>
        <w:t xml:space="preserve">ossier d’appel à manifestation d’intérêt </w:t>
      </w:r>
    </w:p>
    <w:p w14:paraId="6AD7FEA5" w14:textId="77777777" w:rsidR="00AB6650" w:rsidRDefault="00AB6650" w:rsidP="00AB6650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3659B700" w14:textId="1F751AD2" w:rsidR="00851D83" w:rsidRPr="00AB6650" w:rsidRDefault="00851D83" w:rsidP="00851D83">
      <w:pPr>
        <w:spacing w:after="0"/>
        <w:jc w:val="both"/>
        <w:rPr>
          <w:rFonts w:ascii="Arial" w:hAnsi="Arial" w:cs="Arial"/>
          <w:sz w:val="22"/>
          <w:szCs w:val="22"/>
        </w:rPr>
      </w:pPr>
      <w:r w:rsidRPr="00AB6650">
        <w:rPr>
          <w:rFonts w:ascii="Arial" w:hAnsi="Arial" w:cs="Arial"/>
          <w:sz w:val="22"/>
          <w:szCs w:val="22"/>
        </w:rPr>
        <w:t>Le dossier </w:t>
      </w:r>
      <w:r w:rsidR="00F20C04">
        <w:rPr>
          <w:rFonts w:ascii="Arial" w:hAnsi="Arial" w:cs="Arial"/>
          <w:sz w:val="22"/>
          <w:szCs w:val="22"/>
        </w:rPr>
        <w:t>de consultation comportant l’ensemble des conditions de participation à l’</w:t>
      </w:r>
      <w:r w:rsidRPr="00AB6650">
        <w:rPr>
          <w:rFonts w:ascii="Arial" w:hAnsi="Arial" w:cs="Arial"/>
          <w:sz w:val="22"/>
          <w:szCs w:val="22"/>
        </w:rPr>
        <w:t>appel à manifestation d’intérêt est disponible gratuitement à l’adresse électronique suivante : </w:t>
      </w:r>
      <w:hyperlink r:id="rId5" w:tgtFrame="_blank" w:history="1">
        <w:r w:rsidRPr="00AB6650">
          <w:rPr>
            <w:rStyle w:val="Lienhypertexte"/>
            <w:rFonts w:ascii="Arial" w:hAnsi="Arial" w:cs="Arial"/>
            <w:sz w:val="22"/>
            <w:szCs w:val="22"/>
          </w:rPr>
          <w:t>http://www.marches-securises.fr</w:t>
        </w:r>
      </w:hyperlink>
      <w:r w:rsidRPr="00AB6650">
        <w:rPr>
          <w:rFonts w:ascii="Arial" w:hAnsi="Arial" w:cs="Arial"/>
          <w:sz w:val="22"/>
          <w:szCs w:val="22"/>
        </w:rPr>
        <w:t>.  </w:t>
      </w:r>
    </w:p>
    <w:p w14:paraId="73864A7D" w14:textId="6A0C73D8" w:rsidR="00AB6650" w:rsidRDefault="00AB6650" w:rsidP="00FF3123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3A17E670" w14:textId="6A757E9B" w:rsidR="00AB6650" w:rsidRPr="00AB6650" w:rsidRDefault="00AB6650" w:rsidP="00AB6650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Pr="00AB6650">
        <w:rPr>
          <w:rFonts w:ascii="Arial" w:hAnsi="Arial" w:cs="Arial"/>
          <w:b/>
          <w:bCs/>
          <w:sz w:val="22"/>
          <w:szCs w:val="22"/>
        </w:rPr>
        <w:t xml:space="preserve">résentation des </w:t>
      </w:r>
      <w:r w:rsidR="00F20C04">
        <w:rPr>
          <w:rFonts w:ascii="Arial" w:hAnsi="Arial" w:cs="Arial"/>
          <w:b/>
          <w:bCs/>
          <w:sz w:val="22"/>
          <w:szCs w:val="22"/>
        </w:rPr>
        <w:t xml:space="preserve">candidatures et </w:t>
      </w:r>
      <w:r w:rsidRPr="00AB6650">
        <w:rPr>
          <w:rFonts w:ascii="Arial" w:hAnsi="Arial" w:cs="Arial"/>
          <w:b/>
          <w:bCs/>
          <w:sz w:val="22"/>
          <w:szCs w:val="22"/>
        </w:rPr>
        <w:t xml:space="preserve">projets </w:t>
      </w:r>
    </w:p>
    <w:p w14:paraId="6F2F0C40" w14:textId="77777777" w:rsidR="00AB6650" w:rsidRDefault="00AB6650" w:rsidP="00AB6650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3824D5DE" w14:textId="3CF38393" w:rsidR="00AB6650" w:rsidRPr="00AB6650" w:rsidRDefault="00AB6650" w:rsidP="00AB6650">
      <w:pPr>
        <w:spacing w:after="0"/>
        <w:jc w:val="both"/>
        <w:rPr>
          <w:rFonts w:ascii="Arial" w:hAnsi="Arial" w:cs="Arial"/>
          <w:sz w:val="22"/>
          <w:szCs w:val="22"/>
        </w:rPr>
      </w:pPr>
      <w:r w:rsidRPr="00AB6650">
        <w:rPr>
          <w:rFonts w:ascii="Arial" w:hAnsi="Arial" w:cs="Arial"/>
          <w:sz w:val="22"/>
          <w:szCs w:val="22"/>
        </w:rPr>
        <w:t>Les opérateurs devront fournir un</w:t>
      </w:r>
      <w:r w:rsidR="00F20C04">
        <w:rPr>
          <w:rFonts w:ascii="Arial" w:hAnsi="Arial" w:cs="Arial"/>
          <w:sz w:val="22"/>
          <w:szCs w:val="22"/>
        </w:rPr>
        <w:t>e candidature et</w:t>
      </w:r>
      <w:r w:rsidRPr="00AB6650">
        <w:rPr>
          <w:rFonts w:ascii="Arial" w:hAnsi="Arial" w:cs="Arial"/>
          <w:sz w:val="22"/>
          <w:szCs w:val="22"/>
        </w:rPr>
        <w:t xml:space="preserve"> </w:t>
      </w:r>
      <w:r w:rsidR="00F20C04">
        <w:rPr>
          <w:rFonts w:ascii="Arial" w:hAnsi="Arial" w:cs="Arial"/>
          <w:sz w:val="22"/>
          <w:szCs w:val="22"/>
        </w:rPr>
        <w:t xml:space="preserve">un </w:t>
      </w:r>
      <w:r w:rsidRPr="00AB6650">
        <w:rPr>
          <w:rFonts w:ascii="Arial" w:hAnsi="Arial" w:cs="Arial"/>
          <w:sz w:val="22"/>
          <w:szCs w:val="22"/>
        </w:rPr>
        <w:t xml:space="preserve">projet comprenant </w:t>
      </w:r>
      <w:r w:rsidR="00F20C04">
        <w:rPr>
          <w:rFonts w:ascii="Arial" w:hAnsi="Arial" w:cs="Arial"/>
          <w:sz w:val="22"/>
          <w:szCs w:val="22"/>
        </w:rPr>
        <w:t>l’ensemble d</w:t>
      </w:r>
      <w:r w:rsidRPr="00AB6650">
        <w:rPr>
          <w:rFonts w:ascii="Arial" w:hAnsi="Arial" w:cs="Arial"/>
          <w:sz w:val="22"/>
          <w:szCs w:val="22"/>
        </w:rPr>
        <w:t xml:space="preserve">es éléments demandé au titre de l’article 4 et suivants du cahier des charges du présent AMI. </w:t>
      </w:r>
    </w:p>
    <w:p w14:paraId="6D0A6706" w14:textId="77777777" w:rsidR="00AB6650" w:rsidRPr="00AB6650" w:rsidRDefault="00AB6650" w:rsidP="00AB6650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4206C605" w14:textId="627C9580" w:rsidR="00851D83" w:rsidRDefault="004C6D66" w:rsidP="00851D83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Les candidats devront remettre leurs projets avant le : </w:t>
      </w:r>
      <w:r w:rsidR="00D1167D">
        <w:rPr>
          <w:rFonts w:ascii="Arial" w:hAnsi="Arial" w:cs="Arial"/>
          <w:b/>
          <w:bCs/>
          <w:color w:val="EE0000"/>
          <w:sz w:val="22"/>
          <w:szCs w:val="22"/>
          <w:u w:val="single"/>
        </w:rPr>
        <w:t>08 juin</w:t>
      </w:r>
      <w:r w:rsidRPr="00765F66">
        <w:rPr>
          <w:rFonts w:ascii="Arial" w:hAnsi="Arial" w:cs="Arial"/>
          <w:b/>
          <w:bCs/>
          <w:color w:val="EE0000"/>
          <w:sz w:val="22"/>
          <w:szCs w:val="22"/>
          <w:u w:val="single"/>
        </w:rPr>
        <w:t xml:space="preserve"> 2026 12h00</w:t>
      </w:r>
      <w:r w:rsidRPr="00765F66">
        <w:rPr>
          <w:rFonts w:ascii="Arial" w:hAnsi="Arial" w:cs="Arial"/>
          <w:color w:val="EE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sur la plateforme suivante : </w:t>
      </w:r>
      <w:hyperlink r:id="rId6" w:history="1">
        <w:r w:rsidRPr="006111A8">
          <w:rPr>
            <w:rStyle w:val="Lienhypertexte"/>
          </w:rPr>
          <w:t>http://www.marches-securises.fr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52A57A40" w14:textId="77777777" w:rsidR="00E60845" w:rsidRDefault="00E60845" w:rsidP="00851D83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5D550B82" w14:textId="77777777" w:rsidR="00E60845" w:rsidRPr="00851D83" w:rsidRDefault="00E60845" w:rsidP="00851D83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2E10A4A8" w14:textId="1710B349" w:rsidR="004C6D66" w:rsidRPr="004C6D66" w:rsidRDefault="004C6D66" w:rsidP="004C6D66">
      <w:pPr>
        <w:pStyle w:val="Paragraphedeliste"/>
        <w:numPr>
          <w:ilvl w:val="0"/>
          <w:numId w:val="1"/>
        </w:numPr>
        <w:spacing w:after="0"/>
        <w:rPr>
          <w:b/>
        </w:rPr>
      </w:pPr>
      <w:r w:rsidRPr="004C6D66">
        <w:rPr>
          <w:b/>
        </w:rPr>
        <w:lastRenderedPageBreak/>
        <w:t xml:space="preserve">Sélection des projets </w:t>
      </w:r>
    </w:p>
    <w:p w14:paraId="38F09F45" w14:textId="77777777" w:rsidR="004C6D66" w:rsidRPr="004C6D66" w:rsidRDefault="004C6D66" w:rsidP="004C6D66">
      <w:pPr>
        <w:spacing w:after="0"/>
        <w:rPr>
          <w:bCs/>
        </w:rPr>
      </w:pPr>
    </w:p>
    <w:p w14:paraId="4E62229E" w14:textId="2A1A5DA6" w:rsidR="004C6D66" w:rsidRDefault="004C6D66" w:rsidP="004C6D66">
      <w:pPr>
        <w:spacing w:after="0"/>
        <w:rPr>
          <w:bCs/>
        </w:rPr>
      </w:pPr>
      <w:r>
        <w:rPr>
          <w:bCs/>
        </w:rPr>
        <w:t xml:space="preserve">Les projets seront évalués sur 100 points sur la base des critères suivants : </w:t>
      </w:r>
    </w:p>
    <w:p w14:paraId="4335E21D" w14:textId="64F99DD9" w:rsidR="004C6D66" w:rsidRPr="004C6D66" w:rsidRDefault="004C6D66" w:rsidP="004C6D66">
      <w:pPr>
        <w:numPr>
          <w:ilvl w:val="0"/>
          <w:numId w:val="5"/>
        </w:numPr>
        <w:spacing w:after="0"/>
        <w:rPr>
          <w:bCs/>
        </w:rPr>
      </w:pPr>
      <w:r w:rsidRPr="004C6D66">
        <w:rPr>
          <w:bCs/>
        </w:rPr>
        <w:t xml:space="preserve">Qualités </w:t>
      </w:r>
      <w:r w:rsidR="00B3634B">
        <w:rPr>
          <w:bCs/>
        </w:rPr>
        <w:t xml:space="preserve">des paramètres </w:t>
      </w:r>
      <w:r w:rsidRPr="004C6D66">
        <w:rPr>
          <w:bCs/>
        </w:rPr>
        <w:t>économique du projet</w:t>
      </w:r>
    </w:p>
    <w:p w14:paraId="0C2A8E21" w14:textId="540BAE8B" w:rsidR="004C6D66" w:rsidRPr="004C6D66" w:rsidRDefault="004C6D66" w:rsidP="004C6D66">
      <w:pPr>
        <w:numPr>
          <w:ilvl w:val="0"/>
          <w:numId w:val="5"/>
        </w:numPr>
        <w:spacing w:after="0"/>
        <w:rPr>
          <w:bCs/>
        </w:rPr>
      </w:pPr>
      <w:r w:rsidRPr="004C6D66">
        <w:rPr>
          <w:bCs/>
        </w:rPr>
        <w:t xml:space="preserve">Qualités technique du projet proposé </w:t>
      </w:r>
    </w:p>
    <w:p w14:paraId="0DC93E92" w14:textId="032F98F5" w:rsidR="004C6D66" w:rsidRDefault="004C6D66" w:rsidP="004C6D66">
      <w:pPr>
        <w:numPr>
          <w:ilvl w:val="0"/>
          <w:numId w:val="5"/>
        </w:numPr>
        <w:spacing w:after="0"/>
        <w:rPr>
          <w:bCs/>
        </w:rPr>
      </w:pPr>
      <w:r w:rsidRPr="004C6D66">
        <w:rPr>
          <w:bCs/>
        </w:rPr>
        <w:t xml:space="preserve">Solidité du porteur de projet et du montage juridique et contractuel proposé </w:t>
      </w:r>
    </w:p>
    <w:p w14:paraId="6AABE0F5" w14:textId="77777777" w:rsidR="00596488" w:rsidRDefault="00596488" w:rsidP="00596488">
      <w:pPr>
        <w:spacing w:after="0"/>
        <w:rPr>
          <w:bCs/>
        </w:rPr>
      </w:pPr>
    </w:p>
    <w:p w14:paraId="1DCFF569" w14:textId="1BBE10E6" w:rsidR="00596488" w:rsidRDefault="004558E4" w:rsidP="00596488">
      <w:pPr>
        <w:spacing w:after="0"/>
        <w:rPr>
          <w:bCs/>
        </w:rPr>
      </w:pPr>
      <w:r>
        <w:rPr>
          <w:bCs/>
        </w:rPr>
        <w:t xml:space="preserve">La pondération </w:t>
      </w:r>
      <w:r w:rsidR="00254648">
        <w:rPr>
          <w:bCs/>
        </w:rPr>
        <w:t xml:space="preserve">de ces critères est </w:t>
      </w:r>
      <w:r w:rsidR="000B7834">
        <w:rPr>
          <w:bCs/>
        </w:rPr>
        <w:t>indiquée</w:t>
      </w:r>
      <w:r w:rsidR="002B6291">
        <w:rPr>
          <w:bCs/>
        </w:rPr>
        <w:t xml:space="preserve"> à l’article 5.8 du règlement du présent </w:t>
      </w:r>
      <w:r w:rsidR="00CD2DE1">
        <w:rPr>
          <w:bCs/>
        </w:rPr>
        <w:t>Appel à Manifestation d’Intérêt</w:t>
      </w:r>
      <w:r w:rsidR="002B6291">
        <w:rPr>
          <w:bCs/>
        </w:rPr>
        <w:t xml:space="preserve">. </w:t>
      </w:r>
      <w:r w:rsidR="00254648">
        <w:rPr>
          <w:bCs/>
        </w:rPr>
        <w:t xml:space="preserve"> </w:t>
      </w:r>
    </w:p>
    <w:p w14:paraId="465759EA" w14:textId="77777777" w:rsidR="000545F7" w:rsidRPr="00B3634B" w:rsidRDefault="000545F7" w:rsidP="000545F7">
      <w:pPr>
        <w:spacing w:after="0"/>
        <w:rPr>
          <w:bCs/>
        </w:rPr>
      </w:pPr>
    </w:p>
    <w:sectPr w:rsidR="000545F7" w:rsidRPr="00B36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17E7B"/>
    <w:multiLevelType w:val="hybridMultilevel"/>
    <w:tmpl w:val="BF280696"/>
    <w:lvl w:ilvl="0" w:tplc="A08EF3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8D4C8E"/>
    <w:multiLevelType w:val="hybridMultilevel"/>
    <w:tmpl w:val="A5A68356"/>
    <w:lvl w:ilvl="0" w:tplc="840AE8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A7693A"/>
    <w:multiLevelType w:val="hybridMultilevel"/>
    <w:tmpl w:val="2482DF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56933"/>
    <w:multiLevelType w:val="hybridMultilevel"/>
    <w:tmpl w:val="E90611E8"/>
    <w:lvl w:ilvl="0" w:tplc="BB4848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430838"/>
    <w:multiLevelType w:val="hybridMultilevel"/>
    <w:tmpl w:val="03705A72"/>
    <w:lvl w:ilvl="0" w:tplc="4D5427AE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8748C"/>
    <w:multiLevelType w:val="hybridMultilevel"/>
    <w:tmpl w:val="7862A82A"/>
    <w:lvl w:ilvl="0" w:tplc="03F645A6">
      <w:start w:val="75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12B0E"/>
    <w:multiLevelType w:val="hybridMultilevel"/>
    <w:tmpl w:val="A08EDB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5182C"/>
    <w:multiLevelType w:val="hybridMultilevel"/>
    <w:tmpl w:val="8B0AA3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995992">
    <w:abstractNumId w:val="6"/>
  </w:num>
  <w:num w:numId="2" w16cid:durableId="1120035092">
    <w:abstractNumId w:val="5"/>
  </w:num>
  <w:num w:numId="3" w16cid:durableId="1441334984">
    <w:abstractNumId w:val="2"/>
  </w:num>
  <w:num w:numId="4" w16cid:durableId="1340890190">
    <w:abstractNumId w:val="4"/>
  </w:num>
  <w:num w:numId="5" w16cid:durableId="1337417045">
    <w:abstractNumId w:val="7"/>
  </w:num>
  <w:num w:numId="6" w16cid:durableId="790249781">
    <w:abstractNumId w:val="3"/>
  </w:num>
  <w:num w:numId="7" w16cid:durableId="802312245">
    <w:abstractNumId w:val="1"/>
  </w:num>
  <w:num w:numId="8" w16cid:durableId="11791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23"/>
    <w:rsid w:val="00026662"/>
    <w:rsid w:val="00031776"/>
    <w:rsid w:val="000545F7"/>
    <w:rsid w:val="00072265"/>
    <w:rsid w:val="00080625"/>
    <w:rsid w:val="000B7834"/>
    <w:rsid w:val="000E1DCA"/>
    <w:rsid w:val="0012644B"/>
    <w:rsid w:val="00142E76"/>
    <w:rsid w:val="0019548C"/>
    <w:rsid w:val="00233426"/>
    <w:rsid w:val="00254648"/>
    <w:rsid w:val="002B6291"/>
    <w:rsid w:val="0033526C"/>
    <w:rsid w:val="00444D80"/>
    <w:rsid w:val="004558E4"/>
    <w:rsid w:val="00464693"/>
    <w:rsid w:val="004B4358"/>
    <w:rsid w:val="004C6D66"/>
    <w:rsid w:val="004E3E24"/>
    <w:rsid w:val="00556624"/>
    <w:rsid w:val="00575DA6"/>
    <w:rsid w:val="00596488"/>
    <w:rsid w:val="00653395"/>
    <w:rsid w:val="0071328B"/>
    <w:rsid w:val="007328AF"/>
    <w:rsid w:val="00765F66"/>
    <w:rsid w:val="00782FFD"/>
    <w:rsid w:val="00784D9B"/>
    <w:rsid w:val="007E010E"/>
    <w:rsid w:val="00821508"/>
    <w:rsid w:val="00831626"/>
    <w:rsid w:val="00851D83"/>
    <w:rsid w:val="008E4725"/>
    <w:rsid w:val="009517A3"/>
    <w:rsid w:val="009779E0"/>
    <w:rsid w:val="00A21E39"/>
    <w:rsid w:val="00A613D9"/>
    <w:rsid w:val="00AB6650"/>
    <w:rsid w:val="00B3634B"/>
    <w:rsid w:val="00B36613"/>
    <w:rsid w:val="00B647E8"/>
    <w:rsid w:val="00BB4AF9"/>
    <w:rsid w:val="00BD277F"/>
    <w:rsid w:val="00BD5CDD"/>
    <w:rsid w:val="00C652DC"/>
    <w:rsid w:val="00CD2DE1"/>
    <w:rsid w:val="00CD6C36"/>
    <w:rsid w:val="00D10112"/>
    <w:rsid w:val="00D1167D"/>
    <w:rsid w:val="00D44548"/>
    <w:rsid w:val="00D770F8"/>
    <w:rsid w:val="00DA5E53"/>
    <w:rsid w:val="00DD18DD"/>
    <w:rsid w:val="00E60845"/>
    <w:rsid w:val="00EA40E8"/>
    <w:rsid w:val="00ED1624"/>
    <w:rsid w:val="00F20C04"/>
    <w:rsid w:val="00F953B6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FD30"/>
  <w15:chartTrackingRefBased/>
  <w15:docId w15:val="{4F75FCF4-6ABB-449E-AFD8-CDF04B44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F3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3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3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3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3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3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3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3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3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3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F3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F3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F312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F312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F31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F31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F31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F31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F3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3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3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F3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F3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F31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F312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F312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3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312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F312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F312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B6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ches-securises.fr" TargetMode="External"/><Relationship Id="rId5" Type="http://schemas.openxmlformats.org/officeDocument/2006/relationships/hyperlink" Target="http://www.marches-securises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420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Massardier</dc:creator>
  <cp:keywords/>
  <dc:description/>
  <cp:lastModifiedBy>Maxime Massardier</cp:lastModifiedBy>
  <cp:revision>23</cp:revision>
  <dcterms:created xsi:type="dcterms:W3CDTF">2026-03-30T08:19:00Z</dcterms:created>
  <dcterms:modified xsi:type="dcterms:W3CDTF">2026-04-14T09:32:00Z</dcterms:modified>
</cp:coreProperties>
</file>