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DCEDB" w14:textId="77777777" w:rsidR="0028119C" w:rsidRDefault="00EF7F64" w:rsidP="0028119C">
      <w:pPr>
        <w:spacing w:after="200" w:line="276" w:lineRule="auto"/>
        <w:rPr>
          <w:rFonts w:ascii="Verdana" w:hAnsi="Verdana" w:cs="Times New Roman"/>
          <w:sz w:val="20"/>
        </w:rPr>
      </w:pPr>
      <w:r>
        <w:rPr>
          <w:rFonts w:ascii="Times New Roman" w:hAnsi="Times New Roman" w:cs="Times New Roman"/>
          <w:sz w:val="24"/>
          <w:szCs w:val="24"/>
        </w:rPr>
        <w:t xml:space="preserve"> </w:t>
      </w:r>
    </w:p>
    <w:p w14:paraId="64D5AD74" w14:textId="77777777" w:rsidR="0028119C" w:rsidRPr="00047F1E" w:rsidRDefault="0028119C" w:rsidP="0028119C">
      <w:pPr>
        <w:spacing w:after="0" w:line="276" w:lineRule="auto"/>
        <w:jc w:val="center"/>
        <w:rPr>
          <w:rFonts w:ascii="Verdana" w:hAnsi="Verdana" w:cs="Times New Roman"/>
          <w:b/>
          <w:sz w:val="32"/>
          <w:szCs w:val="32"/>
        </w:rPr>
      </w:pPr>
      <w:r>
        <w:rPr>
          <w:rFonts w:ascii="Verdana" w:hAnsi="Verdana" w:cs="Times New Roman"/>
          <w:b/>
          <w:sz w:val="32"/>
          <w:szCs w:val="32"/>
        </w:rPr>
        <w:t>Mairie de Saint-Cyprien</w:t>
      </w:r>
    </w:p>
    <w:p w14:paraId="746C2BC1" w14:textId="77777777" w:rsidR="0028119C" w:rsidRPr="00047F1E" w:rsidRDefault="0028119C" w:rsidP="0028119C">
      <w:pPr>
        <w:spacing w:after="0" w:line="276" w:lineRule="auto"/>
        <w:jc w:val="center"/>
        <w:rPr>
          <w:rFonts w:ascii="Verdana" w:hAnsi="Verdana" w:cs="Times New Roman"/>
          <w:b/>
        </w:rPr>
      </w:pPr>
      <w:r>
        <w:rPr>
          <w:rFonts w:ascii="Verdana" w:hAnsi="Verdana" w:cs="Times New Roman"/>
          <w:b/>
        </w:rPr>
        <w:t>Place Desnoyer</w:t>
      </w:r>
    </w:p>
    <w:p w14:paraId="74D78B8A" w14:textId="77777777" w:rsidR="0028119C" w:rsidRPr="00047F1E" w:rsidRDefault="0028119C" w:rsidP="0028119C">
      <w:pPr>
        <w:spacing w:after="0" w:line="276" w:lineRule="auto"/>
        <w:jc w:val="center"/>
        <w:rPr>
          <w:rFonts w:ascii="Verdana" w:hAnsi="Verdana" w:cs="Times New Roman"/>
          <w:b/>
        </w:rPr>
      </w:pPr>
      <w:r>
        <w:rPr>
          <w:rFonts w:ascii="Verdana" w:hAnsi="Verdana" w:cs="Times New Roman"/>
          <w:b/>
        </w:rPr>
        <w:t>66750</w:t>
      </w:r>
      <w:r w:rsidRPr="00047F1E">
        <w:rPr>
          <w:rFonts w:ascii="Verdana" w:hAnsi="Verdana" w:cs="Times New Roman"/>
          <w:b/>
        </w:rPr>
        <w:t xml:space="preserve"> </w:t>
      </w:r>
      <w:r>
        <w:rPr>
          <w:rFonts w:ascii="Verdana" w:hAnsi="Verdana" w:cs="Times New Roman"/>
          <w:b/>
        </w:rPr>
        <w:t>Saint-Cyprien</w:t>
      </w:r>
    </w:p>
    <w:p w14:paraId="0C1113DD" w14:textId="77777777" w:rsidR="0028119C" w:rsidRDefault="0028119C" w:rsidP="0028119C">
      <w:pPr>
        <w:spacing w:after="0" w:line="276" w:lineRule="auto"/>
        <w:jc w:val="center"/>
        <w:rPr>
          <w:rFonts w:ascii="Verdana" w:hAnsi="Verdana" w:cs="Times New Roman"/>
          <w:sz w:val="20"/>
        </w:rPr>
      </w:pPr>
      <w:r w:rsidRPr="00047F1E">
        <w:rPr>
          <w:rFonts w:ascii="Verdana" w:hAnsi="Verdana" w:cs="Times New Roman"/>
          <w:b/>
        </w:rPr>
        <w:t xml:space="preserve">Tel : </w:t>
      </w:r>
      <w:r>
        <w:rPr>
          <w:rFonts w:ascii="Verdana" w:hAnsi="Verdana" w:cs="Times New Roman"/>
          <w:b/>
        </w:rPr>
        <w:t>0468376800</w:t>
      </w:r>
    </w:p>
    <w:p w14:paraId="0633B9F7" w14:textId="77777777" w:rsidR="0028119C" w:rsidRDefault="0028119C" w:rsidP="0028119C">
      <w:pPr>
        <w:spacing w:after="0" w:line="276" w:lineRule="auto"/>
        <w:jc w:val="center"/>
        <w:rPr>
          <w:rFonts w:ascii="Verdana" w:hAnsi="Verdana" w:cs="Times New Roman"/>
          <w:sz w:val="20"/>
        </w:rPr>
      </w:pPr>
    </w:p>
    <w:p w14:paraId="0971E072" w14:textId="4A682F64" w:rsidR="0028119C" w:rsidRDefault="00E43456" w:rsidP="0028119C">
      <w:pPr>
        <w:spacing w:after="0" w:line="276" w:lineRule="auto"/>
        <w:jc w:val="center"/>
        <w:rPr>
          <w:rFonts w:ascii="Verdana" w:hAnsi="Verdana" w:cs="Times New Roman"/>
          <w:sz w:val="20"/>
        </w:rPr>
      </w:pPr>
      <w:r>
        <w:rPr>
          <w:noProof/>
        </w:rPr>
        <mc:AlternateContent>
          <mc:Choice Requires="wps">
            <w:drawing>
              <wp:anchor distT="0" distB="0" distL="114300" distR="114300" simplePos="0" relativeHeight="251659264" behindDoc="0" locked="0" layoutInCell="1" allowOverlap="1" wp14:anchorId="229A200D" wp14:editId="320379E6">
                <wp:simplePos x="0" y="0"/>
                <wp:positionH relativeFrom="column">
                  <wp:posOffset>871855</wp:posOffset>
                </wp:positionH>
                <wp:positionV relativeFrom="paragraph">
                  <wp:posOffset>5715</wp:posOffset>
                </wp:positionV>
                <wp:extent cx="3977640" cy="1209675"/>
                <wp:effectExtent l="0" t="0" r="3810" b="9525"/>
                <wp:wrapNone/>
                <wp:docPr id="2" name="Organigramme : Alternativ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77640" cy="1209675"/>
                        </a:xfrm>
                        <a:prstGeom prst="flowChartAlternateProcess">
                          <a:avLst/>
                        </a:prstGeom>
                        <a:solidFill>
                          <a:srgbClr val="FFFFFF"/>
                        </a:solidFill>
                        <a:ln w="9525">
                          <a:solidFill>
                            <a:srgbClr val="000000"/>
                          </a:solidFill>
                          <a:miter lim="800000"/>
                          <a:headEnd/>
                          <a:tailEnd/>
                        </a:ln>
                      </wps:spPr>
                      <wps:txbx>
                        <w:txbxContent>
                          <w:p w14:paraId="3A7F7CA1" w14:textId="03797FEE" w:rsidR="005D7400" w:rsidRPr="00BF0990" w:rsidRDefault="00EF7F64" w:rsidP="0028119C">
                            <w:pPr>
                              <w:spacing w:after="0" w:line="276" w:lineRule="auto"/>
                              <w:jc w:val="center"/>
                              <w:rPr>
                                <w:rFonts w:ascii="Verdana" w:hAnsi="Verdana" w:cs="Times New Roman"/>
                                <w:b/>
                                <w:color w:val="000000"/>
                                <w:sz w:val="28"/>
                                <w:szCs w:val="28"/>
                              </w:rPr>
                            </w:pPr>
                            <w:r>
                              <w:rPr>
                                <w:rFonts w:ascii="Times New Roman" w:hAnsi="Times New Roman" w:cs="Times New Roman"/>
                                <w:sz w:val="24"/>
                                <w:szCs w:val="24"/>
                              </w:rPr>
                              <w:t xml:space="preserve"> </w:t>
                            </w:r>
                            <w:r w:rsidR="003E5904" w:rsidRPr="00BF0990">
                              <w:rPr>
                                <w:rFonts w:ascii="Verdana" w:hAnsi="Verdana" w:cs="Times New Roman"/>
                                <w:b/>
                                <w:color w:val="000000"/>
                                <w:sz w:val="28"/>
                                <w:szCs w:val="28"/>
                              </w:rPr>
                              <w:t>Marché</w:t>
                            </w:r>
                            <w:r w:rsidR="009209B3">
                              <w:rPr>
                                <w:rFonts w:ascii="Verdana" w:hAnsi="Verdana" w:cs="Times New Roman"/>
                                <w:b/>
                                <w:color w:val="000000"/>
                                <w:sz w:val="28"/>
                                <w:szCs w:val="28"/>
                              </w:rPr>
                              <w:t xml:space="preserve"> </w:t>
                            </w:r>
                            <w:r w:rsidR="005D7400" w:rsidRPr="00BF0990">
                              <w:rPr>
                                <w:rFonts w:ascii="Verdana" w:hAnsi="Verdana" w:cs="Times New Roman"/>
                                <w:b/>
                                <w:color w:val="000000"/>
                                <w:sz w:val="28"/>
                                <w:szCs w:val="28"/>
                              </w:rPr>
                              <w:t>de maîtrise d'oeuvre des travaux</w:t>
                            </w:r>
                          </w:p>
                          <w:p w14:paraId="47DD07C0" w14:textId="77777777" w:rsidR="003E5904" w:rsidRPr="00BF0990" w:rsidRDefault="003E5904" w:rsidP="0028119C">
                            <w:pPr>
                              <w:spacing w:after="0" w:line="276" w:lineRule="auto"/>
                              <w:jc w:val="center"/>
                              <w:rPr>
                                <w:rFonts w:ascii="Verdana" w:hAnsi="Verdana" w:cs="Times New Roman"/>
                                <w:b/>
                                <w:color w:val="000000"/>
                                <w:sz w:val="28"/>
                                <w:szCs w:val="28"/>
                              </w:rPr>
                            </w:pPr>
                            <w:r w:rsidRPr="00BF0990">
                              <w:rPr>
                                <w:rFonts w:ascii="Verdana" w:hAnsi="Verdana" w:cs="Times New Roman"/>
                                <w:b/>
                                <w:color w:val="000000"/>
                                <w:sz w:val="28"/>
                                <w:szCs w:val="28"/>
                              </w:rPr>
                              <w:t>Marché en procédure adaptée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9A200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Organigramme : Alternative 2" o:spid="_x0000_s1026" type="#_x0000_t176" style="position:absolute;left:0;text-align:left;margin-left:68.65pt;margin-top:.45pt;width:313.2pt;height:9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">
                <v:textbox>
                  <w:txbxContent>
                    <w:p w14:paraId="3A7F7CA1" w14:textId="03797FEE" w:rsidR="005D7400" w:rsidRPr="00BF0990" w:rsidRDefault="00EF7F64" w:rsidP="0028119C">
                      <w:pPr>
                        <w:spacing w:after="0" w:line="276" w:lineRule="auto"/>
                        <w:jc w:val="center"/>
                        <w:rPr>
                          <w:rFonts w:ascii="Verdana" w:hAnsi="Verdana" w:cs="Times New Roman"/>
                          <w:b/>
                          <w:color w:val="000000"/>
                          <w:sz w:val="28"/>
                          <w:szCs w:val="28"/>
                        </w:rPr>
                      </w:pPr>
                      <w:r>
                        <w:rPr>
                          <w:rFonts w:ascii="Times New Roman" w:hAnsi="Times New Roman" w:cs="Times New Roman"/>
                          <w:sz w:val="24"/>
                          <w:szCs w:val="24"/>
                        </w:rPr>
                        <w:t xml:space="preserve"> </w:t>
                      </w:r>
                      <w:r w:rsidR="003E5904" w:rsidRPr="00BF0990">
                        <w:rPr>
                          <w:rFonts w:ascii="Verdana" w:hAnsi="Verdana" w:cs="Times New Roman"/>
                          <w:b/>
                          <w:color w:val="000000"/>
                          <w:sz w:val="28"/>
                          <w:szCs w:val="28"/>
                        </w:rPr>
                        <w:t>Marché</w:t>
                      </w:r>
                      <w:r w:rsidR="009209B3">
                        <w:rPr>
                          <w:rFonts w:ascii="Verdana" w:hAnsi="Verdana" w:cs="Times New Roman"/>
                          <w:b/>
                          <w:color w:val="000000"/>
                          <w:sz w:val="28"/>
                          <w:szCs w:val="28"/>
                        </w:rPr>
                        <w:t xml:space="preserve"> </w:t>
                      </w:r>
                      <w:r w:rsidR="005D7400" w:rsidRPr="00BF0990">
                        <w:rPr>
                          <w:rFonts w:ascii="Verdana" w:hAnsi="Verdana" w:cs="Times New Roman"/>
                          <w:b/>
                          <w:color w:val="000000"/>
                          <w:sz w:val="28"/>
                          <w:szCs w:val="28"/>
                        </w:rPr>
                        <w:t>de maîtrise d'oeuvre des travaux</w:t>
                      </w:r>
                    </w:p>
                    <w:p w14:paraId="47DD07C0" w14:textId="77777777" w:rsidR="003E5904" w:rsidRPr="00BF0990" w:rsidRDefault="003E5904" w:rsidP="0028119C">
                      <w:pPr>
                        <w:spacing w:after="0" w:line="276" w:lineRule="auto"/>
                        <w:jc w:val="center"/>
                        <w:rPr>
                          <w:rFonts w:ascii="Verdana" w:hAnsi="Verdana" w:cs="Times New Roman"/>
                          <w:b/>
                          <w:color w:val="000000"/>
                          <w:sz w:val="28"/>
                          <w:szCs w:val="28"/>
                        </w:rPr>
                      </w:pPr>
                      <w:r w:rsidRPr="00BF0990">
                        <w:rPr>
                          <w:rFonts w:ascii="Verdana" w:hAnsi="Verdana" w:cs="Times New Roman"/>
                          <w:b/>
                          <w:color w:val="000000"/>
                          <w:sz w:val="28"/>
                          <w:szCs w:val="28"/>
                        </w:rPr>
                        <w:t>Marché en procédure adaptée</w:t>
                      </w:r>
                    </w:p>
                  </w:txbxContent>
                </v:textbox>
              </v:shape>
            </w:pict>
          </mc:Fallback>
        </mc:AlternateContent>
      </w:r>
    </w:p>
    <w:p w14:paraId="70BC333A" w14:textId="77777777" w:rsidR="0028119C" w:rsidRPr="00361117" w:rsidRDefault="0028119C" w:rsidP="0028119C">
      <w:pPr>
        <w:spacing w:after="0" w:line="276" w:lineRule="auto"/>
        <w:jc w:val="center"/>
        <w:rPr>
          <w:rFonts w:ascii="Verdana" w:hAnsi="Verdana" w:cs="Times New Roman"/>
          <w:sz w:val="20"/>
        </w:rPr>
      </w:pPr>
    </w:p>
    <w:p w14:paraId="7F0632A6" w14:textId="77777777" w:rsidR="0028119C" w:rsidRDefault="0028119C" w:rsidP="0028119C">
      <w:pPr>
        <w:tabs>
          <w:tab w:val="center" w:pos="4536"/>
          <w:tab w:val="left" w:pos="6252"/>
        </w:tabs>
        <w:spacing w:after="200" w:line="276" w:lineRule="auto"/>
        <w:rPr>
          <w:rFonts w:ascii="Verdana" w:hAnsi="Verdana" w:cs="Times New Roman"/>
          <w:b/>
          <w:color w:val="800000"/>
          <w:sz w:val="32"/>
          <w:szCs w:val="32"/>
        </w:rPr>
      </w:pPr>
      <w:r>
        <w:rPr>
          <w:rFonts w:ascii="Verdana" w:hAnsi="Verdana" w:cs="Times New Roman"/>
          <w:b/>
          <w:color w:val="800000"/>
          <w:sz w:val="32"/>
          <w:szCs w:val="32"/>
        </w:rPr>
        <w:tab/>
      </w:r>
      <w:r>
        <w:rPr>
          <w:rFonts w:ascii="Verdana" w:hAnsi="Verdana" w:cs="Times New Roman"/>
          <w:b/>
          <w:color w:val="800000"/>
          <w:sz w:val="32"/>
          <w:szCs w:val="32"/>
        </w:rPr>
        <w:tab/>
      </w:r>
    </w:p>
    <w:p w14:paraId="2BD210CD" w14:textId="77777777" w:rsidR="0028119C" w:rsidRDefault="0028119C" w:rsidP="0028119C">
      <w:pPr>
        <w:spacing w:after="200" w:line="276" w:lineRule="auto"/>
        <w:jc w:val="center"/>
        <w:rPr>
          <w:rFonts w:cs="Times New Roman"/>
        </w:rPr>
      </w:pPr>
    </w:p>
    <w:p w14:paraId="34DB641C" w14:textId="77777777" w:rsidR="0028119C" w:rsidRDefault="0028119C" w:rsidP="0028119C">
      <w:pPr>
        <w:spacing w:after="200" w:line="276" w:lineRule="auto"/>
        <w:rPr>
          <w:rFonts w:ascii="Times New Roman" w:hAnsi="Times New Roman" w:cs="Times New Roman"/>
          <w:b/>
          <w:noProof/>
          <w:sz w:val="32"/>
          <w:szCs w:val="32"/>
          <w:lang w:eastAsia="fr-FR"/>
        </w:rPr>
      </w:pPr>
    </w:p>
    <w:p w14:paraId="5F9C65A1" w14:textId="77777777" w:rsidR="0028119C" w:rsidRDefault="0028119C" w:rsidP="0028119C">
      <w:pPr>
        <w:spacing w:after="200" w:line="276" w:lineRule="auto"/>
        <w:rPr>
          <w:rFonts w:ascii="Times New Roman" w:hAnsi="Times New Roman" w:cs="Times New Roman"/>
          <w:b/>
          <w:noProof/>
          <w:sz w:val="32"/>
          <w:szCs w:val="32"/>
          <w:lang w:eastAsia="fr-FR"/>
        </w:rPr>
      </w:pPr>
    </w:p>
    <w:p w14:paraId="0DF3BB11" w14:textId="77777777" w:rsidR="0028119C" w:rsidRPr="00390DBC" w:rsidRDefault="0028119C" w:rsidP="0028119C">
      <w:pPr>
        <w:spacing w:after="200" w:line="276" w:lineRule="auto"/>
        <w:jc w:val="center"/>
        <w:rPr>
          <w:rFonts w:ascii="Verdana" w:hAnsi="Verdana" w:cs="Times New Roman"/>
          <w:color w:val="000000"/>
          <w:sz w:val="40"/>
          <w:szCs w:val="4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6279"/>
      </w:tblGrid>
      <w:tr w:rsidR="0028119C" w14:paraId="549EFED2" w14:textId="77777777" w:rsidTr="00E12965">
        <w:tc>
          <w:tcPr>
            <w:tcW w:w="2802" w:type="dxa"/>
          </w:tcPr>
          <w:p w14:paraId="5A5C2C07" w14:textId="77777777" w:rsidR="0028119C" w:rsidRPr="00D34AB2" w:rsidRDefault="0028119C" w:rsidP="00E12965">
            <w:pPr>
              <w:spacing w:after="200" w:line="276" w:lineRule="auto"/>
              <w:rPr>
                <w:rFonts w:ascii="Verdana" w:hAnsi="Verdana" w:cs="Times New Roman"/>
                <w:b/>
                <w:noProof/>
                <w:sz w:val="28"/>
                <w:szCs w:val="28"/>
                <w:lang w:eastAsia="fr-FR"/>
              </w:rPr>
            </w:pPr>
            <w:r w:rsidRPr="00D34AB2">
              <w:rPr>
                <w:rFonts w:ascii="Verdana" w:hAnsi="Verdana" w:cs="Times New Roman"/>
                <w:b/>
                <w:noProof/>
                <w:sz w:val="28"/>
                <w:szCs w:val="28"/>
                <w:lang w:eastAsia="fr-FR"/>
              </w:rPr>
              <w:t>Objet de la consultation </w:t>
            </w:r>
          </w:p>
        </w:tc>
        <w:tc>
          <w:tcPr>
            <w:tcW w:w="6410" w:type="dxa"/>
          </w:tcPr>
          <w:p w14:paraId="1D11F2DE" w14:textId="7BA99E11" w:rsidR="0028119C" w:rsidRPr="00D34AB2" w:rsidRDefault="00EF7F64" w:rsidP="00E12965">
            <w:pPr>
              <w:spacing w:after="200" w:line="276" w:lineRule="auto"/>
              <w:rPr>
                <w:rFonts w:ascii="Verdana" w:hAnsi="Verdana" w:cs="Times New Roman"/>
                <w:b/>
                <w:noProof/>
                <w:sz w:val="32"/>
                <w:szCs w:val="32"/>
                <w:lang w:eastAsia="fr-FR"/>
              </w:rPr>
            </w:pPr>
            <w:r>
              <w:rPr>
                <w:noProof/>
              </w:rPr>
              <w:drawing>
                <wp:anchor distT="0" distB="0" distL="114300" distR="114300" simplePos="0" relativeHeight="251658239" behindDoc="1" locked="0" layoutInCell="1" allowOverlap="1" wp14:anchorId="0DCC5F4E" wp14:editId="7470D8DF">
                  <wp:simplePos x="0" y="0"/>
                  <wp:positionH relativeFrom="column">
                    <wp:posOffset>-694055</wp:posOffset>
                  </wp:positionH>
                  <wp:positionV relativeFrom="paragraph">
                    <wp:posOffset>-1007745</wp:posOffset>
                  </wp:positionV>
                  <wp:extent cx="3474085" cy="3484880"/>
                  <wp:effectExtent l="0" t="0" r="0" b="0"/>
                  <wp:wrapNone/>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4085" cy="3484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E5904" w:rsidRPr="003E5904">
              <w:rPr>
                <w:rFonts w:ascii="Verdana" w:hAnsi="Verdana" w:cs="Times New Roman"/>
                <w:b/>
                <w:noProof/>
                <w:sz w:val="32"/>
                <w:szCs w:val="32"/>
                <w:lang w:eastAsia="fr-FR"/>
              </w:rPr>
              <w:t xml:space="preserve">Maitrise </w:t>
            </w:r>
            <w:r w:rsidR="009209B3">
              <w:rPr>
                <w:rFonts w:ascii="Verdana" w:hAnsi="Verdana" w:cs="Times New Roman"/>
                <w:b/>
                <w:noProof/>
                <w:sz w:val="32"/>
                <w:szCs w:val="32"/>
                <w:lang w:eastAsia="fr-FR"/>
              </w:rPr>
              <w:t>d‘</w:t>
            </w:r>
            <w:r w:rsidR="003E5904" w:rsidRPr="003E5904">
              <w:rPr>
                <w:rFonts w:ascii="Verdana" w:hAnsi="Verdana" w:cs="Times New Roman"/>
                <w:b/>
                <w:noProof/>
                <w:sz w:val="32"/>
                <w:szCs w:val="32"/>
                <w:lang w:eastAsia="fr-FR"/>
              </w:rPr>
              <w:t>oeuvre pour la création et l'extension de pontons flottants et le renforcement de structures existantes dans le port de Saint-Cyprien</w:t>
            </w:r>
          </w:p>
        </w:tc>
      </w:tr>
    </w:tbl>
    <w:p w14:paraId="72A2A5C3" w14:textId="77777777" w:rsidR="0028119C" w:rsidRDefault="0028119C" w:rsidP="0028119C">
      <w:pPr>
        <w:spacing w:after="200" w:line="276" w:lineRule="auto"/>
        <w:rPr>
          <w:rFonts w:ascii="Times New Roman" w:hAnsi="Times New Roman" w:cs="Times New Roman"/>
          <w:b/>
          <w:noProof/>
          <w:sz w:val="32"/>
          <w:szCs w:val="32"/>
          <w:lang w:eastAsia="fr-FR"/>
        </w:rPr>
      </w:pPr>
    </w:p>
    <w:p w14:paraId="64BE241F" w14:textId="77777777" w:rsidR="0028119C" w:rsidRDefault="0028119C" w:rsidP="0028119C">
      <w:pPr>
        <w:spacing w:after="200" w:line="276" w:lineRule="auto"/>
        <w:rPr>
          <w:rFonts w:ascii="Times New Roman" w:hAnsi="Times New Roman" w:cs="Times New Roman"/>
          <w:b/>
          <w:noProof/>
          <w:sz w:val="32"/>
          <w:szCs w:val="32"/>
          <w:lang w:eastAsia="fr-FR"/>
        </w:rPr>
      </w:pPr>
    </w:p>
    <w:p w14:paraId="6D7CA3E2" w14:textId="77777777" w:rsidR="0028119C" w:rsidRDefault="0028119C" w:rsidP="0028119C">
      <w:pPr>
        <w:spacing w:after="200" w:line="276" w:lineRule="auto"/>
        <w:rPr>
          <w:rFonts w:ascii="Times New Roman" w:hAnsi="Times New Roman" w:cs="Times New Roman"/>
          <w:b/>
          <w:noProof/>
          <w:sz w:val="32"/>
          <w:szCs w:val="32"/>
          <w:lang w:eastAsia="fr-FR"/>
        </w:rPr>
      </w:pPr>
    </w:p>
    <w:p w14:paraId="61A80125" w14:textId="77777777" w:rsidR="0028119C" w:rsidRDefault="0028119C" w:rsidP="0028119C">
      <w:pPr>
        <w:spacing w:after="200" w:line="276" w:lineRule="auto"/>
        <w:rPr>
          <w:rFonts w:ascii="Times New Roman" w:hAnsi="Times New Roman" w:cs="Times New Roman"/>
          <w:b/>
          <w:noProof/>
          <w:sz w:val="32"/>
          <w:szCs w:val="32"/>
          <w:lang w:eastAsia="fr-FR"/>
        </w:rPr>
      </w:pPr>
    </w:p>
    <w:p w14:paraId="0540E5F3" w14:textId="77777777" w:rsidR="0028119C" w:rsidRDefault="0028119C" w:rsidP="0028119C">
      <w:pPr>
        <w:spacing w:after="200" w:line="276" w:lineRule="auto"/>
        <w:rPr>
          <w:rFonts w:ascii="Times New Roman" w:hAnsi="Times New Roman" w:cs="Times New Roman"/>
          <w:b/>
          <w:noProof/>
          <w:sz w:val="32"/>
          <w:szCs w:val="32"/>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8119C" w:rsidRPr="00390DBC" w14:paraId="2BC1235D" w14:textId="77777777" w:rsidTr="00E12965">
        <w:tc>
          <w:tcPr>
            <w:tcW w:w="9212" w:type="dxa"/>
          </w:tcPr>
          <w:p w14:paraId="25C25845" w14:textId="77777777" w:rsidR="0028119C" w:rsidRPr="003E5904" w:rsidRDefault="003E5904" w:rsidP="00E12965">
            <w:pPr>
              <w:spacing w:after="200" w:line="276" w:lineRule="auto"/>
              <w:jc w:val="center"/>
              <w:rPr>
                <w:rFonts w:ascii="Verdana" w:hAnsi="Verdana" w:cs="Times New Roman"/>
                <w:b/>
                <w:color w:val="000000"/>
                <w:sz w:val="32"/>
                <w:szCs w:val="32"/>
              </w:rPr>
            </w:pPr>
            <w:r w:rsidRPr="003E5904">
              <w:rPr>
                <w:rFonts w:ascii="Verdana" w:hAnsi="Verdana" w:cs="Times New Roman"/>
                <w:b/>
                <w:color w:val="000000"/>
                <w:sz w:val="32"/>
                <w:szCs w:val="32"/>
              </w:rPr>
              <w:t>Cahier des clauses particulières</w:t>
            </w:r>
          </w:p>
        </w:tc>
      </w:tr>
      <w:tr w:rsidR="0028119C" w:rsidRPr="00390DBC" w14:paraId="786E571E" w14:textId="77777777" w:rsidTr="00E12965">
        <w:tc>
          <w:tcPr>
            <w:tcW w:w="9212" w:type="dxa"/>
          </w:tcPr>
          <w:p w14:paraId="2B766786" w14:textId="77777777" w:rsidR="0028119C" w:rsidRPr="00D34AB2" w:rsidRDefault="005D7400" w:rsidP="00E12965">
            <w:pPr>
              <w:spacing w:after="200" w:line="276" w:lineRule="auto"/>
              <w:jc w:val="center"/>
              <w:rPr>
                <w:rFonts w:ascii="Verdana" w:hAnsi="Verdana" w:cs="Times New Roman"/>
                <w:b/>
                <w:sz w:val="24"/>
                <w:szCs w:val="24"/>
              </w:rPr>
            </w:pPr>
            <w:r w:rsidRPr="008143E4">
              <w:rPr>
                <w:rFonts w:ascii="Verdana" w:hAnsi="Verdana" w:cs="Times New Roman"/>
                <w:b/>
                <w:noProof/>
                <w:sz w:val="40"/>
                <w:szCs w:val="40"/>
                <w:lang w:eastAsia="fr-FR"/>
              </w:rPr>
              <w:t>MAPA N°26MO020</w:t>
            </w:r>
          </w:p>
        </w:tc>
      </w:tr>
    </w:tbl>
    <w:p w14:paraId="3C111921" w14:textId="77777777" w:rsidR="0028119C" w:rsidRDefault="0028119C" w:rsidP="0028119C">
      <w:pPr>
        <w:spacing w:after="200" w:line="276" w:lineRule="auto"/>
        <w:rPr>
          <w:rFonts w:ascii="Times New Roman" w:hAnsi="Times New Roman" w:cs="Times New Roman"/>
          <w:b/>
          <w:noProof/>
          <w:sz w:val="32"/>
          <w:szCs w:val="32"/>
          <w:lang w:eastAsia="fr-FR"/>
        </w:rPr>
      </w:pPr>
    </w:p>
    <w:p w14:paraId="76FDCAF2" w14:textId="77777777" w:rsidR="004D1FE5" w:rsidRDefault="004D1FE5" w:rsidP="0028119C">
      <w:pPr>
        <w:spacing w:after="0" w:line="240" w:lineRule="auto"/>
        <w:rPr>
          <w:sz w:val="20"/>
          <w:szCs w:val="20"/>
          <w:lang w:eastAsia="fr-FR"/>
        </w:rPr>
      </w:pPr>
    </w:p>
    <w:p w14:paraId="015F9C74" w14:textId="77777777" w:rsidR="00FA7F0A" w:rsidRDefault="00FA7F0A" w:rsidP="0028119C">
      <w:pPr>
        <w:spacing w:after="0" w:line="240" w:lineRule="auto"/>
        <w:rPr>
          <w:sz w:val="20"/>
          <w:szCs w:val="20"/>
          <w:lang w:eastAsia="fr-FR"/>
        </w:rPr>
      </w:pPr>
    </w:p>
    <w:p w14:paraId="611FC799" w14:textId="77777777" w:rsidR="003B3367" w:rsidRDefault="00EF7F64">
      <w:pPr>
        <w:autoSpaceDE w:val="0"/>
        <w:autoSpaceDN w:val="0"/>
        <w:adjustRightInd w:val="0"/>
        <w:spacing w:before="100" w:after="100" w:line="240" w:lineRule="auto"/>
        <w:rPr>
          <w:rFonts w:ascii="Verdana" w:hAnsi="Verdana" w:cs="Times New Roman"/>
          <w:b/>
          <w:sz w:val="24"/>
          <w:szCs w:val="24"/>
        </w:rPr>
      </w:pPr>
      <w:bookmarkStart w:id="0" w:name="DEFINITION"/>
      <w:bookmarkEnd w:id="0"/>
      <w:r>
        <w:rPr>
          <w:rFonts w:ascii="Verdana" w:hAnsi="Verdana" w:cs="Times New Roman"/>
          <w:b/>
          <w:sz w:val="24"/>
          <w:szCs w:val="24"/>
        </w:rPr>
        <w:t>Article 1 – Définition des prestations</w:t>
      </w:r>
    </w:p>
    <w:p w14:paraId="1B3915D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stipulations du présent document concernent les prestations désignées ci-dessous :</w:t>
      </w:r>
    </w:p>
    <w:p w14:paraId="7808C4F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Maitrise d'œuvre pour la création et l'extension de pontons flottants et le renforcement de structures existantes dans le port de Saint-Cyprien</w:t>
      </w:r>
    </w:p>
    <w:p w14:paraId="0378C6A5"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4B69611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présent marché concerne la maîtrise d'oeuvre en vue de la réhabilitation d'infrastructure(s) désignés ci-</w:t>
      </w:r>
      <w:proofErr w:type="gramStart"/>
      <w:r>
        <w:rPr>
          <w:rFonts w:ascii="Verdana" w:hAnsi="Verdana" w:cs="Times New Roman"/>
          <w:sz w:val="20"/>
          <w:szCs w:val="24"/>
        </w:rPr>
        <w:t>après:</w:t>
      </w:r>
      <w:proofErr w:type="gramEnd"/>
    </w:p>
    <w:p w14:paraId="24BF5FB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Création et extension de pontons flottants</w:t>
      </w:r>
    </w:p>
    <w:p w14:paraId="5CC7C29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projet à réaliser n'entre pas dans le champ d'application du livre IV du code de la commande publique relatif aux marchés publics liés à la maîtrise d'ouvrage publique et à la maîtrise d'œuvre privée (</w:t>
      </w:r>
      <w:proofErr w:type="gramStart"/>
      <w:r>
        <w:rPr>
          <w:rFonts w:ascii="Verdana" w:hAnsi="Verdana" w:cs="Times New Roman"/>
          <w:sz w:val="20"/>
          <w:szCs w:val="24"/>
        </w:rPr>
        <w:t>ex loi</w:t>
      </w:r>
      <w:proofErr w:type="gramEnd"/>
      <w:r>
        <w:rPr>
          <w:rFonts w:ascii="Verdana" w:hAnsi="Verdana" w:cs="Times New Roman"/>
          <w:sz w:val="20"/>
          <w:szCs w:val="24"/>
        </w:rPr>
        <w:t xml:space="preserve"> MOP).</w:t>
      </w:r>
    </w:p>
    <w:p w14:paraId="76806C1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travaux se situent à l'adresse suivante :</w:t>
      </w:r>
    </w:p>
    <w:p w14:paraId="37BFEE1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Port de Saint-Cyprien</w:t>
      </w:r>
    </w:p>
    <w:p w14:paraId="591E080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66750 Saint-Cyprien</w:t>
      </w:r>
    </w:p>
    <w:p w14:paraId="7026D14D"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 – Mode de dévolution des travaux</w:t>
      </w:r>
    </w:p>
    <w:p w14:paraId="1C38723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dévolution des travaux est prévue par marché unique.</w:t>
      </w:r>
    </w:p>
    <w:p w14:paraId="3C8313A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ce mode de dévolution des travaux s'avère ultérieurement mal adapté, le maître d'ouvrage peut le changer, en accord avec le maître d'oeuvre. Dans ce cas, la rémunération du maître d'oeuvre est adaptée par voie d'avenant.</w:t>
      </w:r>
    </w:p>
    <w:p w14:paraId="0B94EB4C"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6B1373FC"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64557F49"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 – Etendue de la mission de maîtrise d'oeuvre</w:t>
      </w:r>
    </w:p>
    <w:p w14:paraId="3F00ED5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mission est constituée des éléments suivants :</w:t>
      </w:r>
    </w:p>
    <w:p w14:paraId="4DF1508E" w14:textId="2368B79C" w:rsidR="0078548E" w:rsidRPr="00367BC7" w:rsidRDefault="0078548E" w:rsidP="0078548E">
      <w:pPr>
        <w:numPr>
          <w:ilvl w:val="0"/>
          <w:numId w:val="1"/>
        </w:numPr>
        <w:autoSpaceDE w:val="0"/>
        <w:autoSpaceDN w:val="0"/>
        <w:adjustRightInd w:val="0"/>
        <w:spacing w:before="100" w:after="0" w:line="240" w:lineRule="auto"/>
        <w:ind w:left="580" w:hanging="250"/>
        <w:rPr>
          <w:rFonts w:ascii="Verdana" w:hAnsi="Verdana" w:cs="Times New Roman"/>
          <w:sz w:val="20"/>
          <w:szCs w:val="24"/>
        </w:rPr>
      </w:pPr>
      <w:r w:rsidRPr="00367BC7">
        <w:rPr>
          <w:rFonts w:ascii="Verdana" w:hAnsi="Verdana" w:cs="Times New Roman"/>
          <w:sz w:val="20"/>
          <w:szCs w:val="24"/>
        </w:rPr>
        <w:t>Esquisse (ESQ) ;</w:t>
      </w:r>
    </w:p>
    <w:p w14:paraId="219EB419" w14:textId="77777777" w:rsidR="003B3367" w:rsidRPr="00367BC7" w:rsidRDefault="00EF7F64" w:rsidP="0078548E">
      <w:pPr>
        <w:numPr>
          <w:ilvl w:val="0"/>
          <w:numId w:val="1"/>
        </w:numPr>
        <w:autoSpaceDE w:val="0"/>
        <w:autoSpaceDN w:val="0"/>
        <w:adjustRightInd w:val="0"/>
        <w:spacing w:before="100" w:after="0" w:line="240" w:lineRule="auto"/>
        <w:ind w:left="580" w:hanging="250"/>
        <w:rPr>
          <w:rFonts w:ascii="Verdana" w:hAnsi="Verdana" w:cs="Times New Roman"/>
          <w:sz w:val="20"/>
          <w:szCs w:val="24"/>
        </w:rPr>
      </w:pPr>
      <w:r w:rsidRPr="00367BC7">
        <w:rPr>
          <w:rFonts w:ascii="Verdana" w:hAnsi="Verdana" w:cs="Times New Roman"/>
          <w:sz w:val="20"/>
          <w:szCs w:val="24"/>
        </w:rPr>
        <w:t>Avant-projet (AVP) ;</w:t>
      </w:r>
    </w:p>
    <w:p w14:paraId="606FD61B" w14:textId="77777777" w:rsidR="003B3367" w:rsidRPr="00367BC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Etudes de projet (PRO) ;</w:t>
      </w:r>
    </w:p>
    <w:p w14:paraId="3D75BE66" w14:textId="77777777" w:rsidR="003B3367" w:rsidRPr="00367BC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Assistance au maître de l'ouvrage pour la passation des marchés publics de travaux (AMT) ;</w:t>
      </w:r>
    </w:p>
    <w:p w14:paraId="69161ACE" w14:textId="77777777" w:rsidR="003B3367" w:rsidRPr="00367BC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Etudes de synthèse (SYN) ;</w:t>
      </w:r>
    </w:p>
    <w:p w14:paraId="100F432E" w14:textId="77777777" w:rsidR="003B3367" w:rsidRPr="00367BC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Visa des études d'exécution établies par les entreprises (VISA) ;</w:t>
      </w:r>
    </w:p>
    <w:p w14:paraId="3490F63B" w14:textId="77777777" w:rsidR="003B3367" w:rsidRPr="00367BC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Direction d'exécution des contrats de travaux (DET) ;</w:t>
      </w:r>
    </w:p>
    <w:p w14:paraId="270E6EC6" w14:textId="33D372BA" w:rsidR="00CF28BE" w:rsidRPr="00367BC7" w:rsidRDefault="00CF28BE"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Ordonnancement, pilotage et coordination (OPC)</w:t>
      </w:r>
    </w:p>
    <w:p w14:paraId="384309F4" w14:textId="77777777" w:rsidR="003B3367" w:rsidRPr="00367BC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Assistance lors des opérations de réception et pendant la période de garantie de parfait achèvement (AOR) ;</w:t>
      </w:r>
    </w:p>
    <w:p w14:paraId="7EE1AB4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3274DA9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De plus, le maître d'oeuvre exécute l'ensemble des tâches et des missions qui lui sont imparties dans le cahier des clauses administratives générales applicables aux marchés publics de travaux (CCAG-Travaux) annexé à l'arrêté du 30 mars 2021 (publié au JORF du 1er avril 2021).</w:t>
      </w:r>
    </w:p>
    <w:p w14:paraId="47F2F9B8"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4 – Ordonnancement, coordination et pilotage</w:t>
      </w:r>
    </w:p>
    <w:p w14:paraId="4F62F56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réalisation des prestations décrites dans l'élément OPC sera confiée à l'entrepreneur général ou au mandataire du groupement d'entrepreneurs conjoints chargé de la réalisation des travaux.</w:t>
      </w:r>
    </w:p>
    <w:p w14:paraId="226CC63C" w14:textId="04FE7000"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L'élément OPC </w:t>
      </w:r>
      <w:bookmarkStart w:id="1" w:name="CONTENUMOE"/>
      <w:bookmarkEnd w:id="1"/>
      <w:r w:rsidR="009209B3">
        <w:rPr>
          <w:rFonts w:ascii="Verdana" w:hAnsi="Verdana" w:cs="Times New Roman"/>
          <w:sz w:val="20"/>
          <w:szCs w:val="24"/>
        </w:rPr>
        <w:t xml:space="preserve">sera </w:t>
      </w:r>
      <w:proofErr w:type="gramStart"/>
      <w:r w:rsidR="009209B3">
        <w:rPr>
          <w:rFonts w:ascii="Verdana" w:hAnsi="Verdana" w:cs="Times New Roman"/>
          <w:sz w:val="20"/>
          <w:szCs w:val="24"/>
        </w:rPr>
        <w:t>confiée</w:t>
      </w:r>
      <w:proofErr w:type="gramEnd"/>
      <w:r w:rsidR="009209B3">
        <w:rPr>
          <w:rFonts w:ascii="Verdana" w:hAnsi="Verdana" w:cs="Times New Roman"/>
          <w:sz w:val="20"/>
          <w:szCs w:val="24"/>
        </w:rPr>
        <w:t xml:space="preserve"> au maitre d’</w:t>
      </w:r>
      <w:proofErr w:type="spellStart"/>
      <w:r w:rsidR="009209B3">
        <w:rPr>
          <w:rFonts w:ascii="Verdana" w:hAnsi="Verdana" w:cs="Times New Roman"/>
          <w:sz w:val="20"/>
          <w:szCs w:val="24"/>
        </w:rPr>
        <w:t>eouvre</w:t>
      </w:r>
      <w:proofErr w:type="spellEnd"/>
      <w:r w:rsidR="009209B3">
        <w:rPr>
          <w:rFonts w:ascii="Verdana" w:hAnsi="Verdana" w:cs="Times New Roman"/>
          <w:sz w:val="20"/>
          <w:szCs w:val="24"/>
        </w:rPr>
        <w:t>.</w:t>
      </w:r>
    </w:p>
    <w:p w14:paraId="41FDBB85"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5 – Contenu détaillé des éléments de mission</w:t>
      </w:r>
    </w:p>
    <w:p w14:paraId="3E0FC15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contenu de la mission est conforme aux dispositions de l'annexe III de l'arrêté du 22 mars 2019 précisant les modalités techniques d'exécution des éléments de mission de </w:t>
      </w:r>
      <w:r>
        <w:rPr>
          <w:rFonts w:ascii="Verdana" w:hAnsi="Verdana" w:cs="Times New Roman"/>
          <w:sz w:val="20"/>
          <w:szCs w:val="24"/>
        </w:rPr>
        <w:lastRenderedPageBreak/>
        <w:t>maîtrise d'œuvre confiés par des maîtres d'ouvrage publics à des prestataires de droit privé.</w:t>
      </w:r>
    </w:p>
    <w:p w14:paraId="7D79399D"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6 – Pièces et renseignements à fournir par le maître d'ouvrage</w:t>
      </w:r>
    </w:p>
    <w:p w14:paraId="2EA4246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appartient au maître d'ouvrage, conformément aux dispositions des articles L2421-1 à L2421-4 du code de la commande publique relatif aux marchés publics liés à la maîtrise d'ouvrage publique et à la maîtrise d'œuvre privée :</w:t>
      </w:r>
    </w:p>
    <w:p w14:paraId="6A15AB0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-de définir, avant tout commencement des avant-projets, le programme de l'opération envisagée, fixant notamment des objectifs de développement durable</w:t>
      </w:r>
    </w:p>
    <w:p w14:paraId="5C4F386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-de définir l'enveloppe financière prévisionnelle correspondante, en précisant sa décomposition et notamment la partie de l'enveloppe affectée aux </w:t>
      </w:r>
      <w:proofErr w:type="gramStart"/>
      <w:r>
        <w:rPr>
          <w:rFonts w:ascii="Verdana" w:hAnsi="Verdana" w:cs="Times New Roman"/>
          <w:sz w:val="20"/>
          <w:szCs w:val="24"/>
        </w:rPr>
        <w:t>travaux.-</w:t>
      </w:r>
      <w:proofErr w:type="gramEnd"/>
      <w:r>
        <w:rPr>
          <w:rFonts w:ascii="Verdana" w:hAnsi="Verdana" w:cs="Times New Roman"/>
          <w:sz w:val="20"/>
          <w:szCs w:val="24"/>
        </w:rPr>
        <w:t>d'indiquer le délai prévisionnel de réalisation de l'opération</w:t>
      </w:r>
    </w:p>
    <w:p w14:paraId="6633DA3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-d'indiquer le mode de dévolution prévisionnel des marchés de </w:t>
      </w:r>
      <w:proofErr w:type="spellStart"/>
      <w:proofErr w:type="gramStart"/>
      <w:r>
        <w:rPr>
          <w:rFonts w:ascii="Verdana" w:hAnsi="Verdana" w:cs="Times New Roman"/>
          <w:sz w:val="20"/>
          <w:szCs w:val="24"/>
        </w:rPr>
        <w:t>travaux.Il</w:t>
      </w:r>
      <w:proofErr w:type="spellEnd"/>
      <w:proofErr w:type="gramEnd"/>
      <w:r>
        <w:rPr>
          <w:rFonts w:ascii="Verdana" w:hAnsi="Verdana" w:cs="Times New Roman"/>
          <w:sz w:val="20"/>
          <w:szCs w:val="24"/>
        </w:rPr>
        <w:t xml:space="preserve"> donne au maître d'œuvre tous les moyens d'accès au site ou aux ouvrages existants</w:t>
      </w:r>
    </w:p>
    <w:p w14:paraId="6E46D05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d'ouvrage se charge de recueillir auprès des occupants et des éventuels voisins (référé préventif), les autorisations préalables nécessaires pour accéder aux locaux et permettre au maître d'œuvre de prendre connaissance et de tenir compte de la configuration des constructions voisines.</w:t>
      </w:r>
    </w:p>
    <w:p w14:paraId="2DB4409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Les démarches ultérieures (telles que prises de rendez-vous, organisation des visites, etc.) sont à la charge du maître </w:t>
      </w:r>
      <w:proofErr w:type="gramStart"/>
      <w:r>
        <w:rPr>
          <w:rFonts w:ascii="Verdana" w:hAnsi="Verdana" w:cs="Times New Roman"/>
          <w:sz w:val="20"/>
          <w:szCs w:val="24"/>
        </w:rPr>
        <w:t>d'</w:t>
      </w:r>
      <w:proofErr w:type="spellStart"/>
      <w:r>
        <w:rPr>
          <w:rFonts w:ascii="Verdana" w:hAnsi="Verdana" w:cs="Times New Roman"/>
          <w:sz w:val="20"/>
          <w:szCs w:val="24"/>
        </w:rPr>
        <w:t>oeuvre.Il</w:t>
      </w:r>
      <w:proofErr w:type="spellEnd"/>
      <w:proofErr w:type="gramEnd"/>
      <w:r>
        <w:rPr>
          <w:rFonts w:ascii="Verdana" w:hAnsi="Verdana" w:cs="Times New Roman"/>
          <w:sz w:val="20"/>
          <w:szCs w:val="24"/>
        </w:rPr>
        <w:t xml:space="preserve"> fournit en outre, en tant que de besoin, avant le début des études :</w:t>
      </w:r>
    </w:p>
    <w:p w14:paraId="771F0C1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règles d'urbanisme applicables à l'opération et toute autre information juridique nécessaire</w:t>
      </w:r>
    </w:p>
    <w:p w14:paraId="7D1EC3E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éventuelles études antérieures ainsi que, le cas échéant, les observations portées sur celles-ci</w:t>
      </w:r>
    </w:p>
    <w:p w14:paraId="204DC1E5"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données techniques déjà connues, dont notamment :</w:t>
      </w:r>
    </w:p>
    <w:p w14:paraId="62142D5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limites séparatives</w:t>
      </w:r>
    </w:p>
    <w:p w14:paraId="3B1CDA9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levés de géomètre (plan cadastral, périmétrique et foncier, plan topographique et de nivellement, relevés des existants, des héberges, des abords, des plantations et des réseaux divers d'alimentation et de rejet, etc.)</w:t>
      </w:r>
    </w:p>
    <w:p w14:paraId="5CFBC21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servitudes publiques et privées (de sol, de sous-sol, aériennes ou radioélectriques, etc.)</w:t>
      </w:r>
    </w:p>
    <w:p w14:paraId="41515B9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-les résultats et analyses des campagnes de sondages et des études de sols (mission G12 définie par </w:t>
      </w:r>
      <w:proofErr w:type="gramStart"/>
      <w:r>
        <w:rPr>
          <w:rFonts w:ascii="Verdana" w:hAnsi="Verdana" w:cs="Times New Roman"/>
          <w:sz w:val="20"/>
          <w:szCs w:val="24"/>
        </w:rPr>
        <w:t>le norme</w:t>
      </w:r>
      <w:proofErr w:type="gramEnd"/>
      <w:r>
        <w:rPr>
          <w:rFonts w:ascii="Verdana" w:hAnsi="Verdana" w:cs="Times New Roman"/>
          <w:sz w:val="20"/>
          <w:szCs w:val="24"/>
        </w:rPr>
        <w:t xml:space="preserve"> NF 94-500)</w:t>
      </w:r>
    </w:p>
    <w:p w14:paraId="6932D5D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résultat des recherches d'éléments construits enterrés, de cavités, carrières, catiches, réseaux et ouvrages enterrés divers, vestiges archéologiques, etc.</w:t>
      </w:r>
    </w:p>
    <w:p w14:paraId="5E4379B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contraintes climatiques, sismiques et les plans d'exposition aux risques naturels, etc.</w:t>
      </w:r>
    </w:p>
    <w:p w14:paraId="5DA15A0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règles et règlements particuliers spécifiques au projet et dont le maître d'ouvrage a connaissance.</w:t>
      </w:r>
    </w:p>
    <w:p w14:paraId="1208157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résultats des mesurages de caractérisation acoustique du site.</w:t>
      </w:r>
    </w:p>
    <w:p w14:paraId="5B2B416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-ses éventuelles demandes d'obtention de labels.</w:t>
      </w:r>
    </w:p>
    <w:p w14:paraId="2579E756"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50ACA7E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pièces manquantes, il appartient au maître d'œuvre de les réclamer.</w:t>
      </w:r>
    </w:p>
    <w:p w14:paraId="0AB33F9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7 – Forme du marché</w:t>
      </w:r>
    </w:p>
    <w:p w14:paraId="199A3295"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Marché ordinaire passé par un pouvoir adjudicateur.</w:t>
      </w:r>
      <w:bookmarkStart w:id="2" w:name="DUREE"/>
      <w:bookmarkEnd w:id="2"/>
    </w:p>
    <w:p w14:paraId="4B934B9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8 – Durée du marché </w:t>
      </w:r>
    </w:p>
    <w:p w14:paraId="6CC84C1A" w14:textId="7FB0D42A"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prestations de maîtrise d'œuvre débutent à compter de la date indiquée sur l'ordre de service</w:t>
      </w:r>
      <w:r w:rsidR="000666C9">
        <w:rPr>
          <w:rFonts w:ascii="Verdana" w:hAnsi="Verdana" w:cs="Times New Roman"/>
          <w:sz w:val="20"/>
          <w:szCs w:val="24"/>
        </w:rPr>
        <w:t xml:space="preserve"> sur 24 mois</w:t>
      </w:r>
      <w:r>
        <w:rPr>
          <w:rFonts w:ascii="Verdana" w:hAnsi="Verdana" w:cs="Times New Roman"/>
          <w:sz w:val="20"/>
          <w:szCs w:val="24"/>
        </w:rPr>
        <w:t>. Elles s'achèvent à l'expiration du délai de la garantie de parfait achèvement ou après prolongation de ce délai si les réserves signalées lors de la réception ne sont pas toutes levées à la fin de cette période. Dans cette hypothèse, l'achèvement de la mission intervient lors de la levée de la dernière réserve.</w:t>
      </w:r>
      <w:bookmarkStart w:id="3" w:name="PCONTRAT"/>
      <w:bookmarkEnd w:id="3"/>
    </w:p>
    <w:p w14:paraId="5B1C76A2"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9 – Documents contractuels</w:t>
      </w:r>
    </w:p>
    <w:p w14:paraId="6E0001F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Les pièces constitutives du marché sont les suivantes, listées par ordre de priorité décroissant.</w:t>
      </w:r>
    </w:p>
    <w:p w14:paraId="11591849"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L'acte d'engagement et ses éventuelles annexes</w:t>
      </w:r>
    </w:p>
    <w:p w14:paraId="22056630"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cahier des clauses particulières (CCP)</w:t>
      </w:r>
    </w:p>
    <w:p w14:paraId="442E05B8"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cahier des clauses administratives générales – maîtrise d'œuvre (CCAG-MOE) approuvé par arrêté du 30 mars 2021 et publié au JO du 1er avril 2021</w:t>
      </w:r>
    </w:p>
    <w:p w14:paraId="349E4C38"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Les clauses du CCAG Travaux précisant le rôle du maître d'œuvre dans le cadre de l'exécution des marchés de travaux</w:t>
      </w:r>
    </w:p>
    <w:p w14:paraId="37DEDB28"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mémoire justificatif</w:t>
      </w:r>
    </w:p>
    <w:p w14:paraId="7B8A6D10"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Le programme de l'opération</w:t>
      </w:r>
    </w:p>
    <w:p w14:paraId="0886EF5C" w14:textId="77777777" w:rsidR="003B3367" w:rsidRDefault="00EF7F64">
      <w:pPr>
        <w:autoSpaceDE w:val="0"/>
        <w:autoSpaceDN w:val="0"/>
        <w:adjustRightInd w:val="0"/>
        <w:spacing w:before="100" w:after="100" w:line="240" w:lineRule="auto"/>
        <w:rPr>
          <w:rFonts w:ascii="Verdana" w:hAnsi="Verdana" w:cs="Times New Roman"/>
          <w:b/>
          <w:sz w:val="24"/>
          <w:szCs w:val="24"/>
        </w:rPr>
      </w:pPr>
      <w:bookmarkStart w:id="4" w:name="PRIX"/>
      <w:bookmarkEnd w:id="4"/>
      <w:r>
        <w:rPr>
          <w:rFonts w:ascii="Verdana" w:hAnsi="Verdana" w:cs="Times New Roman"/>
          <w:b/>
          <w:sz w:val="24"/>
          <w:szCs w:val="24"/>
        </w:rPr>
        <w:t>Article 10 – Rémunération du maître d'oeuvre</w:t>
      </w:r>
    </w:p>
    <w:p w14:paraId="3B99494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présent marché de maîtrise d'œuvre est un marché forfaitaire conclu à prix provisoire.</w:t>
      </w:r>
    </w:p>
    <w:p w14:paraId="029E079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rémunération forfaitaire du maître d'œuvre est fondée selon un pourcentage qui s'applique au montant hors taxe des travaux.</w:t>
      </w:r>
    </w:p>
    <w:p w14:paraId="0396B016"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10.1 – Etablissement du forfait provisoire de rémunération</w:t>
      </w:r>
    </w:p>
    <w:p w14:paraId="46EDE94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montant du marché, fixé dans l'acte d'engagement, est provisoire, conformément aux dispositions de l'article R2112-18 du code de la commande publique et des articles R2432-6 et R2432-7 du livre IV de la commande publique relatif aux marchés publics liés à la maîtrise d'ouvrage publique et à la maîtrise d'œuvre privée.</w:t>
      </w:r>
    </w:p>
    <w:p w14:paraId="301A21F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montant du forfait provisoire de rémunération est établi en tenant compte des éléments portés à la connaissance du maître d'œuvre lors de la négociation du marché :</w:t>
      </w:r>
    </w:p>
    <w:p w14:paraId="7596F173"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contenu</w:t>
      </w:r>
      <w:proofErr w:type="gramEnd"/>
      <w:r>
        <w:rPr>
          <w:rFonts w:ascii="Verdana" w:hAnsi="Verdana" w:cs="Times New Roman"/>
          <w:sz w:val="20"/>
          <w:szCs w:val="24"/>
        </w:rPr>
        <w:t xml:space="preserve"> de la mission fixée par le présent document et les assurances à souscrire</w:t>
      </w:r>
    </w:p>
    <w:p w14:paraId="3AB9C35C"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programme</w:t>
      </w:r>
      <w:proofErr w:type="gramEnd"/>
      <w:r>
        <w:rPr>
          <w:rFonts w:ascii="Verdana" w:hAnsi="Verdana" w:cs="Times New Roman"/>
          <w:sz w:val="20"/>
          <w:szCs w:val="24"/>
        </w:rPr>
        <w:t xml:space="preserve"> de l'opération</w:t>
      </w:r>
    </w:p>
    <w:p w14:paraId="0388808F"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partie</w:t>
      </w:r>
      <w:proofErr w:type="gramEnd"/>
      <w:r>
        <w:rPr>
          <w:rFonts w:ascii="Verdana" w:hAnsi="Verdana" w:cs="Times New Roman"/>
          <w:sz w:val="20"/>
          <w:szCs w:val="24"/>
        </w:rPr>
        <w:t xml:space="preserve"> affectée aux travaux de l'enveloppe financière prévisionnelle fixée par le maître d'ouvrage</w:t>
      </w:r>
    </w:p>
    <w:p w14:paraId="26B8A326"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éléments</w:t>
      </w:r>
      <w:proofErr w:type="gramEnd"/>
      <w:r>
        <w:rPr>
          <w:rFonts w:ascii="Verdana" w:hAnsi="Verdana" w:cs="Times New Roman"/>
          <w:sz w:val="20"/>
          <w:szCs w:val="24"/>
        </w:rPr>
        <w:t xml:space="preserve"> de complexité liés aux contraintes du contexte local et à l'insertion du projet dans l'environnement à la nature et à la spécificité du projet et résultant des exigences contractuelles </w:t>
      </w:r>
    </w:p>
    <w:p w14:paraId="1457C14C"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délais</w:t>
      </w:r>
      <w:proofErr w:type="gramEnd"/>
      <w:r>
        <w:rPr>
          <w:rFonts w:ascii="Verdana" w:hAnsi="Verdana" w:cs="Times New Roman"/>
          <w:sz w:val="20"/>
          <w:szCs w:val="24"/>
        </w:rPr>
        <w:t xml:space="preserve"> des études du maître d'œuvre et délai de leur approbation par le maître d'ouvrage </w:t>
      </w:r>
    </w:p>
    <w:p w14:paraId="059F47F2"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mode</w:t>
      </w:r>
      <w:proofErr w:type="gramEnd"/>
      <w:r>
        <w:rPr>
          <w:rFonts w:ascii="Verdana" w:hAnsi="Verdana" w:cs="Times New Roman"/>
          <w:sz w:val="20"/>
          <w:szCs w:val="24"/>
        </w:rPr>
        <w:t xml:space="preserve"> de dévolution des marchés de travaux</w:t>
      </w:r>
    </w:p>
    <w:p w14:paraId="4A97BF64"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durée</w:t>
      </w:r>
      <w:proofErr w:type="gramEnd"/>
      <w:r>
        <w:rPr>
          <w:rFonts w:ascii="Verdana" w:hAnsi="Verdana" w:cs="Times New Roman"/>
          <w:sz w:val="20"/>
          <w:szCs w:val="24"/>
        </w:rPr>
        <w:t xml:space="preserve"> prévisionnelle d'exécution des travaux, et leur éventuel phasage</w:t>
      </w:r>
    </w:p>
    <w:p w14:paraId="3A964D2C"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découpage</w:t>
      </w:r>
      <w:proofErr w:type="gramEnd"/>
      <w:r>
        <w:rPr>
          <w:rFonts w:ascii="Verdana" w:hAnsi="Verdana" w:cs="Times New Roman"/>
          <w:sz w:val="20"/>
          <w:szCs w:val="24"/>
        </w:rPr>
        <w:t xml:space="preserve"> éventuel de l'opération en plusieurs tranches de réalisation </w:t>
      </w:r>
    </w:p>
    <w:p w14:paraId="331B75C4"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continuité</w:t>
      </w:r>
      <w:proofErr w:type="gramEnd"/>
      <w:r>
        <w:rPr>
          <w:rFonts w:ascii="Verdana" w:hAnsi="Verdana" w:cs="Times New Roman"/>
          <w:sz w:val="20"/>
          <w:szCs w:val="24"/>
        </w:rPr>
        <w:t xml:space="preserve"> du déroulement de l'opération.</w:t>
      </w:r>
    </w:p>
    <w:p w14:paraId="3F819F71"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10.2 – Passage au forfait définitif de rémunération-clause de réexamen</w:t>
      </w:r>
    </w:p>
    <w:p w14:paraId="6ACE979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Pour passer de la rémunération provisoire à la rémunération définitive, les parties conviennent de modifier le marché conformément à l'article R. 2194-1 du code de la commande publique en appliquant la clause de réexamen suivante :</w:t>
      </w:r>
    </w:p>
    <w:p w14:paraId="1299E75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rémunération provisoire devient définitive lors de l'acceptation par le maître d'ouvrage de l'</w:t>
      </w:r>
      <w:proofErr w:type="spellStart"/>
      <w:r>
        <w:rPr>
          <w:rFonts w:ascii="Verdana" w:hAnsi="Verdana" w:cs="Times New Roman"/>
          <w:sz w:val="20"/>
          <w:szCs w:val="24"/>
        </w:rPr>
        <w:t>élement</w:t>
      </w:r>
      <w:proofErr w:type="spellEnd"/>
      <w:r>
        <w:rPr>
          <w:rFonts w:ascii="Verdana" w:hAnsi="Verdana" w:cs="Times New Roman"/>
          <w:sz w:val="20"/>
          <w:szCs w:val="24"/>
        </w:rPr>
        <w:t xml:space="preserve"> de mission butoir sous-mentionné et de l'engagement du maître d'œuvre sur le coût prévisionnel des </w:t>
      </w:r>
      <w:proofErr w:type="gramStart"/>
      <w:r>
        <w:rPr>
          <w:rFonts w:ascii="Verdana" w:hAnsi="Verdana" w:cs="Times New Roman"/>
          <w:sz w:val="20"/>
          <w:szCs w:val="24"/>
        </w:rPr>
        <w:t>travaux .</w:t>
      </w:r>
      <w:proofErr w:type="gramEnd"/>
    </w:p>
    <w:p w14:paraId="354C3DF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coût prévisionnel des travaux est arrêté par le maître d'ouvrage à partir de l'estimation prévisionnelle définitive </w:t>
      </w:r>
      <w:proofErr w:type="gramStart"/>
      <w:r>
        <w:rPr>
          <w:rFonts w:ascii="Verdana" w:hAnsi="Verdana" w:cs="Times New Roman"/>
          <w:sz w:val="20"/>
          <w:szCs w:val="24"/>
        </w:rPr>
        <w:t>des travaux établi</w:t>
      </w:r>
      <w:proofErr w:type="gramEnd"/>
      <w:r>
        <w:rPr>
          <w:rFonts w:ascii="Verdana" w:hAnsi="Verdana" w:cs="Times New Roman"/>
          <w:sz w:val="20"/>
          <w:szCs w:val="24"/>
        </w:rPr>
        <w:t xml:space="preserve"> par le maître d'oeuvre.</w:t>
      </w:r>
    </w:p>
    <w:p w14:paraId="48F2B66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montant définitif de la rémunération = coût prévisionnel des travaux multiplié par le taux de rémunération fixé au marché.</w:t>
      </w:r>
      <w:bookmarkStart w:id="5" w:name="BUTOIR"/>
      <w:bookmarkEnd w:id="5"/>
    </w:p>
    <w:p w14:paraId="224D512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10.3 – Elément de mission butoir pour le passage au forfait définitif de rémunération</w:t>
      </w:r>
    </w:p>
    <w:p w14:paraId="0B304CE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L'élément butoir est : Projet (PRO).</w:t>
      </w:r>
    </w:p>
    <w:p w14:paraId="5702B858"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10.4 – Formalisme du passage au forfait définitif</w:t>
      </w:r>
    </w:p>
    <w:p w14:paraId="1E66E8E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 coût prévisionnel des travaux sur lequel s'engage la maîtrise d'œuvre et le forfait définitif de rémunération sont arrêtés par avenant conformément aux dispositions des articles R2432-2, R2432-3, R2432-6 et R2432-7 du livre IV de la commande publique relatif aux marchés publics liés à la maîtrise d'ouvrage publique et à la maîtrise d'œuvre privée.</w:t>
      </w:r>
    </w:p>
    <w:p w14:paraId="6D02A795"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10.5 – Evolution du forfait en cours d'</w:t>
      </w:r>
      <w:proofErr w:type="spellStart"/>
      <w:r>
        <w:rPr>
          <w:rFonts w:ascii="Verdana" w:hAnsi="Verdana" w:cs="Times New Roman"/>
          <w:b/>
          <w:sz w:val="24"/>
          <w:szCs w:val="24"/>
        </w:rPr>
        <w:t>execution</w:t>
      </w:r>
      <w:proofErr w:type="spellEnd"/>
      <w:r>
        <w:rPr>
          <w:rFonts w:ascii="Verdana" w:hAnsi="Verdana" w:cs="Times New Roman"/>
          <w:b/>
          <w:sz w:val="24"/>
          <w:szCs w:val="24"/>
        </w:rPr>
        <w:t xml:space="preserve"> du marché</w:t>
      </w:r>
    </w:p>
    <w:p w14:paraId="19E3F70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Toute modification des dispositions contractuelles fait l'objet d'un avenant pour tenir compte notamment :</w:t>
      </w:r>
    </w:p>
    <w:p w14:paraId="59881FE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-des conséquences sur le marché de maîtrise d'œuvre, de l'évolution du programme et de l'enveloppe financière prévisionnelle, conformément aux dispositions de l'article L2421-5 du livre IV du code de la commande publique</w:t>
      </w:r>
    </w:p>
    <w:p w14:paraId="563CDDB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-des modifications éventuelles dans le contenu ou la complexité des prestations de maîtrise d'œuvre résultant des modifications de programme ou de prestations décidées par le maître d'ouvrage, conformément à L2432-2 du livre IV du code de la commande publique</w:t>
      </w:r>
    </w:p>
    <w:p w14:paraId="7813D9C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-des aléas non imputables à la maîtrise d'œuvre (notamment ceux issus ou nécessitant des investigations complémentaires).</w:t>
      </w:r>
    </w:p>
    <w:p w14:paraId="2C95942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 stade de la consultation des entreprises, des variantes qui seraient acceptées par le maître d'ouvrage et qui remettraient en cause la conception de la maîtrise d'œuvre, rendant ainsi nécessaire la reprise des études</w:t>
      </w:r>
    </w:p>
    <w:p w14:paraId="0160C01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-des modifications de phasage ou des délais de réalisation des études ou des travaux</w:t>
      </w:r>
    </w:p>
    <w:p w14:paraId="77B5B66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-du suivi des réserves formulées lors de la réception et non levées à l'issue de la garantie de parfait achèvement, à la condition que le maître d'œuvre ait mis en œuvre tous les moyens mis à sa disposition par le CCAG-Travaux.</w:t>
      </w:r>
      <w:bookmarkStart w:id="6" w:name="ENGT"/>
      <w:bookmarkEnd w:id="6"/>
    </w:p>
    <w:p w14:paraId="11235FE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11 – Engagement du maître d'oeuvre avant la passation des marchés de travaux</w:t>
      </w:r>
    </w:p>
    <w:p w14:paraId="152378F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11.1 – Enveloppe financière fixée par le maître d'ouvrage</w:t>
      </w:r>
    </w:p>
    <w:p w14:paraId="0CE35C5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Cette enveloppe financière affectée aux travaux comprend l'ensemble des travaux nécessaires à la réalisation du programme annexé.</w:t>
      </w:r>
    </w:p>
    <w:p w14:paraId="095B3913"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11.2 – Estimation provisoire du coût prévisionnel des travaux</w:t>
      </w:r>
    </w:p>
    <w:p w14:paraId="0BA946D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L'avancement des études permet au maître d'œuvre, lors de l'établissement des prestations de chaque élément, de vérifier que le projet s'inscrit dans le respect de son engagement sur le coût prévisionnel des travaux.</w:t>
      </w:r>
      <w:bookmarkStart w:id="7" w:name="ESTICOUT"/>
      <w:bookmarkEnd w:id="7"/>
    </w:p>
    <w:p w14:paraId="780FCE77"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11.3 – Estimation du coût prévisionnel des travaux établie par le maître d'œuvre et engagement </w:t>
      </w:r>
    </w:p>
    <w:p w14:paraId="1170B10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coût prévisionnel est la somme des montants de travaux sur lesquels le maître d'œuvre assume sa mission et qui sont nécessaires pour mener à son terme la réalisation de l'ouvrage.</w:t>
      </w:r>
    </w:p>
    <w:p w14:paraId="2B45297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Il est ramené au mois m0 "études", mois d'établissement des prix du marché de maîtrise d'œuvre fixé dans le CCP à l'article 15 - Mois d'établissement des prix du </w:t>
      </w:r>
      <w:proofErr w:type="gramStart"/>
      <w:r>
        <w:rPr>
          <w:rFonts w:ascii="Verdana" w:hAnsi="Verdana" w:cs="Times New Roman"/>
          <w:sz w:val="20"/>
          <w:szCs w:val="24"/>
        </w:rPr>
        <w:t>marché .</w:t>
      </w:r>
      <w:proofErr w:type="gramEnd"/>
    </w:p>
    <w:p w14:paraId="1753DF9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L'engagement du maître d'œuvre intervient à l'issue de l'</w:t>
      </w:r>
      <w:proofErr w:type="spellStart"/>
      <w:r>
        <w:rPr>
          <w:rFonts w:ascii="Verdana" w:hAnsi="Verdana" w:cs="Times New Roman"/>
          <w:sz w:val="20"/>
          <w:szCs w:val="24"/>
        </w:rPr>
        <w:t>élement</w:t>
      </w:r>
      <w:proofErr w:type="spellEnd"/>
      <w:r>
        <w:rPr>
          <w:rFonts w:ascii="Verdana" w:hAnsi="Verdana" w:cs="Times New Roman"/>
          <w:sz w:val="20"/>
          <w:szCs w:val="24"/>
        </w:rPr>
        <w:t xml:space="preserve"> de mission butoir défini à l'article 10.3 - Elément de mission butoir pour le passage au forfait définitif de rémunération sur la base de l'estimation définitive du coût prévisionnel des travaux.</w:t>
      </w:r>
    </w:p>
    <w:p w14:paraId="07B49FC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L'estimation définitive est assortie d'un taux de tolérance, défini ci-dessous.</w:t>
      </w:r>
    </w:p>
    <w:p w14:paraId="3761A666"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11.4 – Seuil de tolérance et reprise gratuite des études </w:t>
      </w:r>
    </w:p>
    <w:p w14:paraId="3839777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Seuil de tolérance = coût prévisionnel des travaux x (1 + taux de tolérance)</w:t>
      </w:r>
    </w:p>
    <w:p w14:paraId="0FA9C77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Chaque fois qu'il constate que le projet qu'il a conçu ne permet pas de respecter ce seuil de tolérance et ceci avant même de connaître les résultats de la consultation lancée pour la passation des marchés de travaux, le maître d'oeuvre doit reprendre gratuitement ses études si le maître d'ouvrage le lui demande.</w:t>
      </w:r>
    </w:p>
    <w:p w14:paraId="7F56A80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délai de l'élément de mission correspondant est alors prorogé de 3 jours.</w:t>
      </w:r>
    </w:p>
    <w:p w14:paraId="3A79E9E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lastRenderedPageBreak/>
        <w:t xml:space="preserve">Article 11.5 – Taux de tolérance sur le coût prévisionnel des travaux </w:t>
      </w:r>
    </w:p>
    <w:p w14:paraId="720FA52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L'estimation définitive est assortie d'un taux de tolérance de 5 </w:t>
      </w:r>
      <w:proofErr w:type="gramStart"/>
      <w:r>
        <w:rPr>
          <w:rFonts w:ascii="Verdana" w:hAnsi="Verdana" w:cs="Times New Roman"/>
          <w:sz w:val="20"/>
          <w:szCs w:val="24"/>
        </w:rPr>
        <w:t>% .</w:t>
      </w:r>
      <w:proofErr w:type="gramEnd"/>
    </w:p>
    <w:p w14:paraId="5D3EA4C6"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11.6 – Prise en compte des modifications intervenues</w:t>
      </w:r>
    </w:p>
    <w:p w14:paraId="47442C5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en cours d'exécution du marché, le maître d'ouvrage décide des modifications de programme, conduisant à des modifications dans la consistance du projet, leur incidence financière sur le coût prévisionnel des travaux doit être chiffrée et un nouveau forfait de rémunération est alors fixé par avenant.</w:t>
      </w:r>
    </w:p>
    <w:p w14:paraId="1D664C2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réajustement du nouveau coût prévisionnel des travaux au mois m0 des études s'effectue par l'application d'un coefficient de réajustement égal au rapport de l'index BT ou TP retenu par le maître d'ouvrage et à défaut l'index TP 01 ou BT 01 pour l'ensemble des travaux.</w:t>
      </w:r>
    </w:p>
    <w:p w14:paraId="7884CE6E"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11.7 – Coût de référence des travaux à l'issue de la consultation des entreprises</w:t>
      </w:r>
    </w:p>
    <w:p w14:paraId="19F056B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Lorsque le maître d'ouvrage dispose des résultats de la consultation des entreprises, le maître d'œuvre établit le coût de référence des travaux.</w:t>
      </w:r>
    </w:p>
    <w:p w14:paraId="343C3F0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 coût est obtenu en multipliant le montant de l'offre ou des offres considérée(s), comme la (les) plus économiquement avantageuse(s) par le maître d'ouvrage, par un coefficient de réajustement égal au rapport de l'index retenu par le maître d'ouvrage, et à défaut l'index TP 01 ou BT 01 pour l'ensemble des travaux, pris respectivement au mois m0 du marché de maîtrise d'œuvre et au mois m0 de l'offre ou des offres ci-dessus. Ce coefficient est arrondi au millième supérieur.</w:t>
      </w:r>
    </w:p>
    <w:p w14:paraId="064B4D2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11.8 – Respect de l'engagement sur le coût prévisionnel par rapport au coût de référence des travaux</w:t>
      </w:r>
    </w:p>
    <w:p w14:paraId="11DCC2C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respect de l'engagement du maître d'œuvre s'apprécie sur le coût global de référence et non lot par lot.</w:t>
      </w:r>
    </w:p>
    <w:p w14:paraId="5D299A7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11.9 – Conséquences du </w:t>
      </w:r>
      <w:proofErr w:type="spellStart"/>
      <w:proofErr w:type="gramStart"/>
      <w:r>
        <w:rPr>
          <w:rFonts w:ascii="Verdana" w:hAnsi="Verdana" w:cs="Times New Roman"/>
          <w:b/>
          <w:sz w:val="24"/>
          <w:szCs w:val="24"/>
        </w:rPr>
        <w:t>non respect</w:t>
      </w:r>
      <w:proofErr w:type="spellEnd"/>
      <w:proofErr w:type="gramEnd"/>
      <w:r>
        <w:rPr>
          <w:rFonts w:ascii="Verdana" w:hAnsi="Verdana" w:cs="Times New Roman"/>
          <w:b/>
          <w:sz w:val="24"/>
          <w:szCs w:val="24"/>
        </w:rPr>
        <w:t xml:space="preserve"> de l'engagement sur le coût prévisionnel des travaux</w:t>
      </w:r>
    </w:p>
    <w:p w14:paraId="2018CF2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Lorsque le coût de référence dépasse le seuil de tolérance défini ci-dessus, le maître d'ouvrage peut :</w:t>
      </w:r>
    </w:p>
    <w:p w14:paraId="72D0F7C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soit accepter l'offre ou les offres des entreprises</w:t>
      </w:r>
    </w:p>
    <w:p w14:paraId="55BE152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soit demander à la maîtrise d'œuvre une reprise partielle des études qui, par des adaptations du projet compatibles avec les données, contraintes et exigences du programme, permettrait de réduire le coût.</w:t>
      </w:r>
    </w:p>
    <w:p w14:paraId="783EA29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Dans ce cas, conformément à l'article R2432-3 du livre IV du code de la commande publique, en cas de dépassement du seuil de tolérance ne résultant pas de circonstances que le maître d'œuvre ne pouvait prévoir, la reprise des études est effectuée sans rémunération supplémentaire.</w:t>
      </w:r>
    </w:p>
    <w:p w14:paraId="15EFFC0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Dans tous les cas, aucune pénalité financière ne peut être appliquée à ce stade.</w:t>
      </w:r>
      <w:bookmarkStart w:id="8" w:name="ENGT2"/>
      <w:bookmarkEnd w:id="8"/>
    </w:p>
    <w:p w14:paraId="32A57B54"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12 – Engagement du maître d'oeuvre après la passation des marchés de travaux</w:t>
      </w:r>
    </w:p>
    <w:p w14:paraId="117921F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12.1 – Coût de réalisation des travaux et engagement </w:t>
      </w:r>
    </w:p>
    <w:p w14:paraId="6F19533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coût de réalisation des travaux est le coût qui résulte des marchés de travaux sur lequel le maître d'œuvre assume sa mission, passés par le maître d'ouvrage pour la réalisation du projet. Il est égal à la somme des montants initiaux des marchés de travaux.</w:t>
      </w:r>
    </w:p>
    <w:p w14:paraId="3999D47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coût de réalisation est notifié par le maître de l'ouvrage au maître d'œuvre. Le maître d'œuvre s'engage à le respecter.</w:t>
      </w:r>
    </w:p>
    <w:p w14:paraId="5D79E77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coût de réalisation est réputé établi sur la base des conditions économiques du mois m0 du ou des marchés de travaux.</w:t>
      </w:r>
    </w:p>
    <w:p w14:paraId="28B1F6E8"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lastRenderedPageBreak/>
        <w:t>Article 12.2 – Tolérance sur le coût de réalisation des travaux</w:t>
      </w:r>
    </w:p>
    <w:p w14:paraId="4E59F5F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seuil de tolérance = coût de réalisation des travaux x (1 + taux de tolérance)</w:t>
      </w:r>
    </w:p>
    <w:p w14:paraId="6C3E4D89"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2D31792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coût de réalisation des travaux est assorti d'un taux de tolérance de 5 </w:t>
      </w:r>
      <w:proofErr w:type="gramStart"/>
      <w:r>
        <w:rPr>
          <w:rFonts w:ascii="Verdana" w:hAnsi="Verdana" w:cs="Times New Roman"/>
          <w:sz w:val="20"/>
          <w:szCs w:val="24"/>
        </w:rPr>
        <w:t>% .</w:t>
      </w:r>
      <w:proofErr w:type="gramEnd"/>
    </w:p>
    <w:p w14:paraId="5E02AFA7"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12.3 – Comparaison entre réalité et tolérance</w:t>
      </w:r>
    </w:p>
    <w:p w14:paraId="2819809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coût constaté déterminé par le maître d'ouvrage après achèvement de l'ouvrage est le montant, en prix de base M0 travaux, des travaux réellement exécutés dans le cadre des marchés et avenants, intervenus pour la réalisation de l'ouvrage et hors révision ou actualisation de prix.</w:t>
      </w:r>
    </w:p>
    <w:p w14:paraId="75681D4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coût de référence des travaux à la réception de l'ouvrage est le coût constaté à l'exclusion des coûts supplémentaires non imputables à la maîtrise d'œuvre.</w:t>
      </w:r>
    </w:p>
    <w:p w14:paraId="36379AD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12.4 – Conséquences du </w:t>
      </w:r>
      <w:proofErr w:type="spellStart"/>
      <w:proofErr w:type="gramStart"/>
      <w:r>
        <w:rPr>
          <w:rFonts w:ascii="Verdana" w:hAnsi="Verdana" w:cs="Times New Roman"/>
          <w:b/>
          <w:sz w:val="24"/>
          <w:szCs w:val="24"/>
        </w:rPr>
        <w:t>non respect</w:t>
      </w:r>
      <w:proofErr w:type="spellEnd"/>
      <w:proofErr w:type="gramEnd"/>
      <w:r>
        <w:rPr>
          <w:rFonts w:ascii="Verdana" w:hAnsi="Verdana" w:cs="Times New Roman"/>
          <w:b/>
          <w:sz w:val="24"/>
          <w:szCs w:val="24"/>
        </w:rPr>
        <w:t xml:space="preserve"> de l'engagement sur le coût de réalisation des travaux</w:t>
      </w:r>
    </w:p>
    <w:p w14:paraId="0E3AE0A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le coût de référence est supérieur au seuil de tolérance tel que défini ci-dessus, en raison d'un manquement du maître d'œuvre dans ses missions de direction de l'exécution des marchés publics de travaux et d'assistance au maître d'ouvrage lors des opérations de réception, le maître d'œuvre supporte une pénalité définie comme suit :</w:t>
      </w:r>
    </w:p>
    <w:p w14:paraId="03C8236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Montant de la pénalité = (coût de référence - seuil de tolérance) x (taux de pénalité définie ci-dessous)</w:t>
      </w:r>
    </w:p>
    <w:p w14:paraId="300318F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Cependant, conformément à l'article R2432-4 du livre IV du code de la commande publique, le montant de cette pénalité ne pourra excéder 15 % du montant de la rémunération des éléments de mission postérieurs à l'attribution des marchés de travaux.</w:t>
      </w:r>
    </w:p>
    <w:p w14:paraId="01E24AFA"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6162FA9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taux de pénalité est de 10 %.</w:t>
      </w:r>
      <w:bookmarkStart w:id="9" w:name="PRIXTYPE"/>
      <w:bookmarkEnd w:id="9"/>
    </w:p>
    <w:p w14:paraId="2D352FCE"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13 – Type de prix</w:t>
      </w:r>
    </w:p>
    <w:p w14:paraId="6C77C95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prestations sont traitées à prix forfaitaires.</w:t>
      </w:r>
      <w:bookmarkStart w:id="10" w:name="PRIXVAR"/>
      <w:bookmarkEnd w:id="10"/>
    </w:p>
    <w:p w14:paraId="4A746187"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14 – Modalités de variation du prix</w:t>
      </w:r>
    </w:p>
    <w:p w14:paraId="6DCE5E2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prix sont fermes.</w:t>
      </w:r>
      <w:bookmarkStart w:id="11" w:name="MZERO"/>
      <w:bookmarkEnd w:id="11"/>
    </w:p>
    <w:p w14:paraId="20FF8791"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15 - Mois d'établissement des prix du marché</w:t>
      </w:r>
    </w:p>
    <w:p w14:paraId="0600878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prix sont réputés établis aux conditions économiques du mois correspondant à la date à laquelle l'offre a été remise par le titulaire, conformément au CCAG.</w:t>
      </w:r>
    </w:p>
    <w:p w14:paraId="5D5C860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 mois est appelé mois zéro (M0).</w:t>
      </w:r>
    </w:p>
    <w:p w14:paraId="418DE281"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16 – Contenu des prix</w:t>
      </w:r>
    </w:p>
    <w:p w14:paraId="7B37384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prix sont réputés complets.</w:t>
      </w:r>
    </w:p>
    <w:p w14:paraId="10776F6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Ils comprennent notamment toutes les charges fiscales, parafiscales, ou autres frappant obligatoirement la prestation.</w:t>
      </w:r>
    </w:p>
    <w:p w14:paraId="50F8F039"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17 – Responsable(s) technique</w:t>
      </w:r>
    </w:p>
    <w:p w14:paraId="79248A9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responsabilité technique du suivi des prestations incombe à</w:t>
      </w:r>
      <w:proofErr w:type="gramStart"/>
      <w:r>
        <w:rPr>
          <w:rFonts w:ascii="Verdana" w:hAnsi="Verdana" w:cs="Times New Roman"/>
          <w:sz w:val="20"/>
          <w:szCs w:val="24"/>
        </w:rPr>
        <w:t xml:space="preserve"> :-</w:t>
      </w:r>
      <w:proofErr w:type="gramEnd"/>
      <w:r>
        <w:rPr>
          <w:rFonts w:ascii="Verdana" w:hAnsi="Verdana" w:cs="Times New Roman"/>
          <w:sz w:val="20"/>
          <w:szCs w:val="24"/>
        </w:rPr>
        <w:t xml:space="preserve"> Monsieur Frédéric Berliat</w:t>
      </w:r>
    </w:p>
    <w:p w14:paraId="09E541B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Directeur du Port</w:t>
      </w:r>
    </w:p>
    <w:p w14:paraId="3B17876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Tel : 04.68.21.07.98.</w:t>
      </w:r>
    </w:p>
    <w:p w14:paraId="10B2B73E"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18 – Contrôle technique</w:t>
      </w:r>
    </w:p>
    <w:p w14:paraId="332C6EC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travaux ne sont pas soumis à l'obligation de contrôle technique prévue par la loi du 4 janvier 1978 relative à l'assurance construction.</w:t>
      </w:r>
    </w:p>
    <w:p w14:paraId="4AA3D843"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19 – Présentation et approbation des prestations en phase études</w:t>
      </w:r>
    </w:p>
    <w:p w14:paraId="0AAC4CB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lastRenderedPageBreak/>
        <w:t>Article 19.1 – Point de départ des délais d'établissement des documents d'études</w:t>
      </w:r>
    </w:p>
    <w:p w14:paraId="0F08FD0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délais d'établissement des documents d'études sont fixés dans l'acte d'engagement.</w:t>
      </w:r>
    </w:p>
    <w:p w14:paraId="66DFAD8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point de départ de ces délais est fixé comme suit :</w:t>
      </w:r>
    </w:p>
    <w:p w14:paraId="2E106EB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 xml:space="preserve">1) pour le premier élément réalisé après la conclusion du marché : </w:t>
      </w:r>
      <w:r>
        <w:rPr>
          <w:rFonts w:ascii="Verdana" w:hAnsi="Verdana" w:cs="Times New Roman"/>
          <w:sz w:val="20"/>
          <w:szCs w:val="24"/>
        </w:rPr>
        <w:t>le départ est la date de l'accusé de réception par le maître d'oeuvre de l'ordre prescrivant le commencement de cet élément de mission ;</w:t>
      </w:r>
    </w:p>
    <w:p w14:paraId="4774C43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2) pour les éléments suivants :</w:t>
      </w:r>
      <w:r>
        <w:rPr>
          <w:rFonts w:ascii="Verdana" w:hAnsi="Verdana" w:cs="Times New Roman"/>
          <w:sz w:val="20"/>
          <w:szCs w:val="24"/>
        </w:rPr>
        <w:t xml:space="preserve"> le départ est la date de l'accusé de réception par le maître d'oeuvre, du prononcé de la réception du document d'études le </w:t>
      </w:r>
      <w:proofErr w:type="spellStart"/>
      <w:r>
        <w:rPr>
          <w:rFonts w:ascii="Verdana" w:hAnsi="Verdana" w:cs="Times New Roman"/>
          <w:sz w:val="20"/>
          <w:szCs w:val="24"/>
        </w:rPr>
        <w:t>précédant</w:t>
      </w:r>
      <w:proofErr w:type="spellEnd"/>
      <w:r>
        <w:rPr>
          <w:rFonts w:ascii="Verdana" w:hAnsi="Verdana" w:cs="Times New Roman"/>
          <w:sz w:val="20"/>
          <w:szCs w:val="24"/>
        </w:rPr>
        <w:t xml:space="preserve"> dans l'ordre chronologique de déroulement de l'opération.</w:t>
      </w:r>
    </w:p>
    <w:p w14:paraId="65993CD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 chaque stade des études, le maître d'oeuvre doit apporter des corrections à ses dossiers pour tenir compte, le cas échéant, des observations du maître d'ouvrage, du coordonnateur sécurité et protection de la santé ou du contrôleur technique. Les modifications apportées sont incluses dans la mission de maîtrise d'oeuvre si elles se limitent à des aménagements ne remettant ni en cause, ni l'esprit du programme, ni celui du projet, et cela quel que soit le stade des études auquel elles sont demandées.</w:t>
      </w:r>
    </w:p>
    <w:p w14:paraId="42C0C8E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3) éléments particuliers :</w:t>
      </w:r>
      <w:r>
        <w:rPr>
          <w:rFonts w:ascii="Verdana" w:hAnsi="Verdana" w:cs="Times New Roman"/>
          <w:sz w:val="20"/>
          <w:szCs w:val="24"/>
        </w:rPr>
        <w:t xml:space="preserve"> assistance au maître de l'ouvrage pour la passation des marchés de travaux (AMT) :</w:t>
      </w:r>
    </w:p>
    <w:p w14:paraId="78E8C904"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établissement</w:t>
      </w:r>
      <w:proofErr w:type="gramEnd"/>
      <w:r>
        <w:rPr>
          <w:rFonts w:ascii="Verdana" w:hAnsi="Verdana" w:cs="Times New Roman"/>
          <w:sz w:val="20"/>
          <w:szCs w:val="24"/>
        </w:rPr>
        <w:t xml:space="preserve"> du dossier de consultation des entreprises (DCE) : le départ est la date de l'accusé de réception, par le maître d'oeuvre, de l'ordre lui prescrivant l'établissement du dossier ;</w:t>
      </w:r>
    </w:p>
    <w:p w14:paraId="1574A301"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analyse</w:t>
      </w:r>
      <w:proofErr w:type="gramEnd"/>
      <w:r>
        <w:rPr>
          <w:rFonts w:ascii="Verdana" w:hAnsi="Verdana" w:cs="Times New Roman"/>
          <w:sz w:val="20"/>
          <w:szCs w:val="24"/>
        </w:rPr>
        <w:t xml:space="preserve"> comparative des offres : le départ est la date de l'accusé de réception, par le maître d'œuvre, des offres à comparer ;</w:t>
      </w:r>
    </w:p>
    <w:p w14:paraId="369E1D47"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mise</w:t>
      </w:r>
      <w:proofErr w:type="gramEnd"/>
      <w:r>
        <w:rPr>
          <w:rFonts w:ascii="Verdana" w:hAnsi="Verdana" w:cs="Times New Roman"/>
          <w:sz w:val="20"/>
          <w:szCs w:val="24"/>
        </w:rPr>
        <w:t xml:space="preserve"> au point de l'offre retenue : le départ est la date de l'accusé de réception, par le maître d'oeuvre, de la désignation du titulaire.</w:t>
      </w:r>
    </w:p>
    <w:p w14:paraId="6AD6044F" w14:textId="77777777" w:rsidR="003B3367" w:rsidRDefault="00EF7F64">
      <w:pPr>
        <w:autoSpaceDE w:val="0"/>
        <w:autoSpaceDN w:val="0"/>
        <w:adjustRightInd w:val="0"/>
        <w:spacing w:before="100" w:after="100" w:line="240" w:lineRule="auto"/>
        <w:rPr>
          <w:rFonts w:ascii="Verdana" w:hAnsi="Verdana" w:cs="Times New Roman"/>
          <w:b/>
          <w:sz w:val="24"/>
          <w:szCs w:val="24"/>
        </w:rPr>
      </w:pPr>
      <w:bookmarkStart w:id="12" w:name="PRESENTATIONMOE"/>
      <w:bookmarkEnd w:id="12"/>
      <w:r>
        <w:rPr>
          <w:rFonts w:ascii="Verdana" w:hAnsi="Verdana" w:cs="Times New Roman"/>
          <w:b/>
          <w:sz w:val="24"/>
          <w:szCs w:val="24"/>
        </w:rPr>
        <w:t>Article 19.2 – Présentation des documents d'études et d'exécution</w:t>
      </w:r>
    </w:p>
    <w:p w14:paraId="2F702A8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Les documents d'études et d'exécution sont remis par le maître d'oeuvre au maître de l'ouvrage pour vérification et </w:t>
      </w:r>
      <w:proofErr w:type="spellStart"/>
      <w:proofErr w:type="gramStart"/>
      <w:r>
        <w:rPr>
          <w:rFonts w:ascii="Verdana" w:hAnsi="Verdana" w:cs="Times New Roman"/>
          <w:sz w:val="20"/>
          <w:szCs w:val="24"/>
        </w:rPr>
        <w:t>réception.Par</w:t>
      </w:r>
      <w:proofErr w:type="spellEnd"/>
      <w:proofErr w:type="gramEnd"/>
      <w:r>
        <w:rPr>
          <w:rFonts w:ascii="Verdana" w:hAnsi="Verdana" w:cs="Times New Roman"/>
          <w:sz w:val="20"/>
          <w:szCs w:val="24"/>
        </w:rPr>
        <w:t xml:space="preserve"> dérogation à l'article20.4.2 du CCAG-MOE, le maître d'œuvre est dispensé d'aviser le maître de l'ouvrage de la date à laquelle les documents d'études lui seront présentés.</w:t>
      </w:r>
    </w:p>
    <w:p w14:paraId="7D1C898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documents d'études et d'exécution établis par le maître d'oeuvre sont à produire au maître de l'ouvrage en 2 exemplaires.</w:t>
      </w:r>
      <w:bookmarkStart w:id="13" w:name="VERIFMOE"/>
      <w:bookmarkEnd w:id="13"/>
    </w:p>
    <w:p w14:paraId="4AD51659"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19.3 – Délais d'approbation des documents par le maître d'ouvrage</w:t>
      </w:r>
    </w:p>
    <w:p w14:paraId="6BC73C8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Par dérogation à l'article 20.5 du CCAG-MOE, la vérification des documents d'études est effectuée sans avis préalable et hors la présence du maître d'oeuvre</w:t>
      </w:r>
    </w:p>
    <w:p w14:paraId="556B06D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décision par le maître de l'ouvrage, de réception, d'ajournement, de réception avec réfaction ou de rejet des documents d'études ci-avant doit intervenir avant l'expiration des délais ci-après :</w:t>
      </w:r>
    </w:p>
    <w:p w14:paraId="05F1B495"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10 jours calendaires pour les études d'avant-projet (AVP)</w:t>
      </w:r>
    </w:p>
    <w:p w14:paraId="24A96922"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7 jours calendaires pour les études de projet (PRO)</w:t>
      </w:r>
    </w:p>
    <w:p w14:paraId="12330F40"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10 jours calendaires pour le Dossier de Consultation des Entreprises (DCE)</w:t>
      </w:r>
    </w:p>
    <w:p w14:paraId="4BDCD22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Ces délais courent à compter de la date de remise par le maître d'œuvre, ou de livraison, des prestations au maître d'ouvrage. Si le maître d'ouvrage ne notifie pas sa décision dans les délais définis ci-dessus, les prestations sont considérées comme admises, avec effet à compter de l'expiration du délai. La décision du maître d'ouvrage d'ordonner le démarrage d'un élément de mission de maîtrise d'œuvre vaut en tout état de cause admission tacite de l'élément de mission précédent. L'approbation tacite ne va</w:t>
      </w:r>
      <w:r>
        <w:rPr>
          <w:rFonts w:ascii="Verdana" w:hAnsi="Verdana" w:cs="Times New Roman"/>
          <w:sz w:val="20"/>
          <w:szCs w:val="24"/>
        </w:rPr>
        <w:t>ut pas ordre de service de commencer l'élément de mission suivant.</w:t>
      </w:r>
    </w:p>
    <w:p w14:paraId="717816E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19.4 – Suivi de l'exécution des études de conception</w:t>
      </w:r>
    </w:p>
    <w:p w14:paraId="2714C21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Pendant la phase des études de conception, des réunions périodiques sont organisées afin, d'une part, d'examiner l'avancement des études et, d'autre part, de permettre au maître </w:t>
      </w:r>
      <w:r>
        <w:rPr>
          <w:rFonts w:ascii="Verdana" w:hAnsi="Verdana" w:cs="Times New Roman"/>
          <w:sz w:val="20"/>
          <w:szCs w:val="24"/>
        </w:rPr>
        <w:lastRenderedPageBreak/>
        <w:t>de l'ouvrage de donner, en continu, un avis sur les documents établis par le maître d'oeuvre.</w:t>
      </w:r>
    </w:p>
    <w:p w14:paraId="6265C7BC"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 – Présentation et approbation des prestations en phase travaux</w:t>
      </w:r>
    </w:p>
    <w:p w14:paraId="75AC7506"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20.1 – Point de départ des délais d'établissement des documents d'exécution</w:t>
      </w:r>
    </w:p>
    <w:p w14:paraId="74125F7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délais d'établissement des documents d'exécution sont fixés dans l'acte d'engagement.</w:t>
      </w:r>
    </w:p>
    <w:p w14:paraId="7FE43A0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 xml:space="preserve">Examen de conformité (VISA) et études de </w:t>
      </w:r>
      <w:proofErr w:type="spellStart"/>
      <w:r>
        <w:rPr>
          <w:rFonts w:ascii="Verdana" w:hAnsi="Verdana" w:cs="Times New Roman"/>
          <w:b/>
          <w:sz w:val="20"/>
          <w:szCs w:val="24"/>
        </w:rPr>
        <w:t>synthése</w:t>
      </w:r>
      <w:proofErr w:type="spellEnd"/>
      <w:r>
        <w:rPr>
          <w:rFonts w:ascii="Verdana" w:hAnsi="Verdana" w:cs="Times New Roman"/>
          <w:b/>
          <w:sz w:val="20"/>
          <w:szCs w:val="24"/>
        </w:rPr>
        <w:t xml:space="preserve"> (SYN) :</w:t>
      </w:r>
      <w:r>
        <w:rPr>
          <w:rFonts w:ascii="Verdana" w:hAnsi="Verdana" w:cs="Times New Roman"/>
          <w:sz w:val="20"/>
          <w:szCs w:val="24"/>
        </w:rPr>
        <w:t xml:space="preserve"> </w:t>
      </w:r>
    </w:p>
    <w:p w14:paraId="71941A5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départ est la date de l'accusé de réception, par le maître d'œuvre, de l'ordre lui prescrivant l'établissement du document.</w:t>
      </w:r>
    </w:p>
    <w:p w14:paraId="59C3E4DB"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4B2F90A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Dossier des ouvrages exécutés (DOE) :</w:t>
      </w:r>
      <w:r>
        <w:rPr>
          <w:rFonts w:ascii="Verdana" w:hAnsi="Verdana" w:cs="Times New Roman"/>
          <w:sz w:val="20"/>
          <w:szCs w:val="24"/>
        </w:rPr>
        <w:t xml:space="preserve"> </w:t>
      </w:r>
    </w:p>
    <w:p w14:paraId="7ACC5FF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départ est la date limite fixée dans le marché de travaux pour la remise par l'entrepreneur au maître d'oeuvre du dossier conforme à l'exécution.</w:t>
      </w:r>
    </w:p>
    <w:p w14:paraId="0D8B04D1"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20.2 – Vérification par le maître d'oeuvre des projets de décompte mensuel</w:t>
      </w:r>
    </w:p>
    <w:p w14:paraId="2944774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 cours des travaux, le maître d'œuvre doit procéder, conformément à l'article 12 du CCAG applicable aux marchés de travaux, à la vérification des projets de décomptes mensuels établis par l'entrepreneur et qui lui sont transmis par tout moyen permettant de donner une date certaine ou déposer sur le portail public de facturation (plateforme chorus-pro.gouv.fr), lorsque l'entreprise est soumise à l'obligation de facturation électronique et le pouvoir adjudicateur à l'obligation de réception des factures dém</w:t>
      </w:r>
      <w:r>
        <w:rPr>
          <w:rFonts w:ascii="Verdana" w:hAnsi="Verdana" w:cs="Times New Roman"/>
          <w:sz w:val="20"/>
          <w:szCs w:val="24"/>
        </w:rPr>
        <w:t>atérialisées.</w:t>
      </w:r>
    </w:p>
    <w:p w14:paraId="42A1B9B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Après vérification, le projet de décompte mensuel devient le décompte mensuel. Le maître d'œuvre détermine, dans les conditions définies à l'article 12.2 du CCAG applicable aux marchés de travaux, le montant de l'acompte mensuel à régler à l'entrepreneur.</w:t>
      </w:r>
    </w:p>
    <w:p w14:paraId="515E54C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l'absence d'obligation de facturation électronique pour l'entreprise de travaux, le maître d'oeuvre transmet au maître de l'ouvrage en vue du mandatement l'état d'acompte correspondant, qu'il notifie à l'entrepreneur par ordre de service accompagné du décompte ayant servi de base à ce dernier si le projet établi par l'entrepreneur a été modifié.</w:t>
      </w:r>
    </w:p>
    <w:p w14:paraId="2AE84CF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d'œuvre est tenu d'indiquer au maître d'ouvrage la date à laquelle la demande de paiement de l'entrepreneur lui a été remise (ou la date à laquelle il a reçu cette demande).</w:t>
      </w:r>
    </w:p>
    <w:p w14:paraId="2CDC4E75"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d'obligation de facturation électronique pour l'entreprise de travaux, le maître d'oeuvre est tenu d'utiliser la plateforme chorus-pro.gouv.fr, pour vérifier et valider le projet de décompte mensuel et pour transmettre au maître de l'ouvrage, l'état d'acompte correspondant.</w:t>
      </w:r>
    </w:p>
    <w:p w14:paraId="1ABAABF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20.3 – Délai de vérification des décomptes mensuels par le maître d'oeuvre</w:t>
      </w:r>
    </w:p>
    <w:p w14:paraId="06648EF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Par dérogation à l'article 12.2.2 du CCAG-Travaux, le délai pour procéder à la vérification, par le maître d'oeuvre, du projet de décompte mensuel de l'entrepreneur, à la notification de l'état d'acompte mensuel à l'entreprise et sa transmission au maître d'ouvrage est fixé à 7 jours calendaires à compter de la date de réception de la demande de paiement mensuelle du titulaire.</w:t>
      </w:r>
    </w:p>
    <w:p w14:paraId="5ACE020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d'obligation de facturation électronique pour l'entreprise de travaux et conformément à l'article 12.6 du CCAG-Travaux, ce même délai court à compter de la mise à disposition par l'opérateur économique au moyen du cadre de facturation adéquat sur le portail public de facturation (plateforme chorus-pro.gouv.fr) du projet de décompte mensuel au maître d'oeuvre. Il prend fin à la notification au titulaire de l'état d'acompte correspondant dans chorus-pro.</w:t>
      </w:r>
    </w:p>
    <w:p w14:paraId="2C2FE3DD"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20.4 – Vérification du projet de décompte final de l'entrepreneur</w:t>
      </w:r>
    </w:p>
    <w:p w14:paraId="444566A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A l'issue des travaux, le maître d'œuvre vérifie le projet de décompte final du marché de travaux établi par l'entrepreneur conformément à l'article 12.3 du CCAG applicable aux marchés de travaux et qui lui a été transmis par l'entrepreneur par lettre recommandée avec avis de réception postal ou remis contre récépissé ou au moyen de la plateforme chorus-pro.gouv.fr.</w:t>
      </w:r>
    </w:p>
    <w:p w14:paraId="35801EE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Après vérification, le projet de décompte final devient le décompte final. A partir de celui-ci, le maître d'œuvre établit, dans les conditions définies à l'article 12.4 du CCAG applicable aux marchés de travaux, le décompte général.</w:t>
      </w:r>
    </w:p>
    <w:p w14:paraId="0F2EAF5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maître d'oeuvre </w:t>
      </w:r>
      <w:proofErr w:type="spellStart"/>
      <w:r>
        <w:rPr>
          <w:rFonts w:ascii="Verdana" w:hAnsi="Verdana" w:cs="Times New Roman"/>
          <w:sz w:val="20"/>
          <w:szCs w:val="24"/>
        </w:rPr>
        <w:t>doît</w:t>
      </w:r>
      <w:proofErr w:type="spellEnd"/>
      <w:r>
        <w:rPr>
          <w:rFonts w:ascii="Verdana" w:hAnsi="Verdana" w:cs="Times New Roman"/>
          <w:sz w:val="20"/>
          <w:szCs w:val="24"/>
        </w:rPr>
        <w:t xml:space="preserve"> procéder à la vérification du projet de décompte final, à l'établissement du décompte général et à sa transmission au maître d'ouvrage, (au moyen de la plateforme chorus-pro.gouv.fr, en cas d'obligation de facturation électronique pour l'entreprise de travaux) :</w:t>
      </w:r>
    </w:p>
    <w:p w14:paraId="0D0A0051"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20 jours, au plus tard après la date de remise au maître d'œuvre du projet de décompte final par le titulaire.</w:t>
      </w:r>
    </w:p>
    <w:p w14:paraId="53BAD72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20.5 – Instruction des mémoires en réclamation</w:t>
      </w:r>
    </w:p>
    <w:p w14:paraId="41DBCD3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délai d'instruction des mémoires de réclamation est de 7 jours </w:t>
      </w:r>
      <w:proofErr w:type="gramStart"/>
      <w:r>
        <w:rPr>
          <w:rFonts w:ascii="Verdana" w:hAnsi="Verdana" w:cs="Times New Roman"/>
          <w:sz w:val="20"/>
          <w:szCs w:val="24"/>
        </w:rPr>
        <w:t>calendaires</w:t>
      </w:r>
      <w:proofErr w:type="gramEnd"/>
      <w:r>
        <w:rPr>
          <w:rFonts w:ascii="Verdana" w:hAnsi="Verdana" w:cs="Times New Roman"/>
          <w:sz w:val="20"/>
          <w:szCs w:val="24"/>
        </w:rPr>
        <w:t xml:space="preserve"> à compter de la date de l'accusé de réception, par le maître d'œuvre du mémoire concerné.</w:t>
      </w:r>
    </w:p>
    <w:p w14:paraId="285C10E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20.6 – Suivi de l'exécution des travaux</w:t>
      </w:r>
    </w:p>
    <w:p w14:paraId="6F01D6B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Conformément aux dispositions de l'article du présent document, la direction de l'exécution des contrats de travaux incombe au maître d'œuvre qui est l'unique responsable du contrôle de l'exécution des contrats de travaux et qui est l'unique interlocuteur des entrepreneurs. Il est tenu de faire respecter par l'entreprise l'ensemble des stipulations du contrat initial de travaux ou des avenants.</w:t>
      </w:r>
    </w:p>
    <w:p w14:paraId="34973865"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d'œuvre, qui a reçu du maître de l'ouvrage la mission de suivre l'exécution des travaux :</w:t>
      </w:r>
    </w:p>
    <w:p w14:paraId="285B55BB"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veille</w:t>
      </w:r>
      <w:proofErr w:type="gramEnd"/>
      <w:r>
        <w:rPr>
          <w:rFonts w:ascii="Verdana" w:hAnsi="Verdana" w:cs="Times New Roman"/>
          <w:sz w:val="20"/>
          <w:szCs w:val="24"/>
        </w:rPr>
        <w:t xml:space="preserve"> à ce que les travaux soient effectués conformément au projet architectural ainsi qu'aux autres dispositions, notamment techniques et économiques, des marchés conclus entre le maître de l'ouvrage et les </w:t>
      </w:r>
      <w:proofErr w:type="gramStart"/>
      <w:r>
        <w:rPr>
          <w:rFonts w:ascii="Verdana" w:hAnsi="Verdana" w:cs="Times New Roman"/>
          <w:sz w:val="20"/>
          <w:szCs w:val="24"/>
        </w:rPr>
        <w:t>entreprises  ;</w:t>
      </w:r>
      <w:proofErr w:type="gramEnd"/>
    </w:p>
    <w:p w14:paraId="52F4B502"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prend</w:t>
      </w:r>
      <w:proofErr w:type="gramEnd"/>
      <w:r>
        <w:rPr>
          <w:rFonts w:ascii="Verdana" w:hAnsi="Verdana" w:cs="Times New Roman"/>
          <w:sz w:val="20"/>
          <w:szCs w:val="24"/>
        </w:rPr>
        <w:t>, dans les conditions fixées par son contrat et en liaison avec le maître de l'ouvrage ou le conducteur d'opération, les décisions que nécessite la conduite du chantier, en particulier en cas d'événements imprévus ;</w:t>
      </w:r>
    </w:p>
    <w:p w14:paraId="10D0F1E9"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fait</w:t>
      </w:r>
      <w:proofErr w:type="gramEnd"/>
      <w:r>
        <w:rPr>
          <w:rFonts w:ascii="Verdana" w:hAnsi="Verdana" w:cs="Times New Roman"/>
          <w:sz w:val="20"/>
          <w:szCs w:val="24"/>
        </w:rPr>
        <w:t xml:space="preserve"> toutes propositions au maître de l'ouvrage en ce qui concerne l'interprétation des clauses du marché ou les conséquences à tirer des modifications apportées au programme par le maître de l'ouvrage.</w:t>
      </w:r>
    </w:p>
    <w:p w14:paraId="3ADD258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20.7 – Présence du maître d'oeuvre sur le chantier</w:t>
      </w:r>
    </w:p>
    <w:p w14:paraId="50F47FA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temps de présence minimum sur le chantier du maître d'oeuvre lui-même ou d'un de ses représentants, expressément désigné et dûment habilité par le maître de l'ouvrage, est déterminé en accord avec ce dernier ou son représentant, en fonction de l'activité et des phases du chantier.</w:t>
      </w:r>
    </w:p>
    <w:p w14:paraId="4ED1456A"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20.8 – Rendez-vous de chantier</w:t>
      </w:r>
    </w:p>
    <w:p w14:paraId="4D60CBF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Ces rendez-vous ont pour objet :</w:t>
      </w:r>
    </w:p>
    <w:p w14:paraId="157EE356"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la</w:t>
      </w:r>
      <w:proofErr w:type="gramEnd"/>
      <w:r>
        <w:rPr>
          <w:rFonts w:ascii="Verdana" w:hAnsi="Verdana" w:cs="Times New Roman"/>
          <w:sz w:val="20"/>
          <w:szCs w:val="24"/>
        </w:rPr>
        <w:t xml:space="preserve"> vérification de la mise à jour périodique des programmes de travaux découlant du calendrier d'exécution contractuel ;</w:t>
      </w:r>
    </w:p>
    <w:p w14:paraId="3FE40AB9"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l'examen</w:t>
      </w:r>
      <w:proofErr w:type="gramEnd"/>
      <w:r>
        <w:rPr>
          <w:rFonts w:ascii="Verdana" w:hAnsi="Verdana" w:cs="Times New Roman"/>
          <w:sz w:val="20"/>
          <w:szCs w:val="24"/>
        </w:rPr>
        <w:t xml:space="preserve"> des problèmes imprévus rencontrés en cours d'exécution des travaux, qu'il s'agisse de problèmes techniques, administratifs ou autres, étant précisé que si ces problèmes nécessitent des discussions ou des études prolongées, ils font l'objet de réunions spéciales ultérieures dont la date est fixée à l'occasion du rendez-vous.</w:t>
      </w:r>
    </w:p>
    <w:p w14:paraId="2A7C22B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774B9EB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Un compte-rendu détaillé est établi par le maître d'oeuvre. Il est diffusé par le maître d'oeuvre à tous les intervenants, dès le lendemain de chaque rendez-vous.</w:t>
      </w:r>
    </w:p>
    <w:p w14:paraId="2B14B81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D'autres rendez-vous réguliers ou occasionnels peuvent avoir lieu, notamment pour la mise au point des plans d'exécution ou de synthèse et du mode de réalisation de parties d'ouvrage à laquelle concourent plusieurs corps d'état différents. Le maître de l'ouvrage ou son représentant peut assister à toutes ces réunions qui font l'objet de comptes-rendus établis par le maître d'oeuvre et diffusés à tous les intéressés.</w:t>
      </w:r>
    </w:p>
    <w:p w14:paraId="54E6E32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d'oeuvre doit tenir un journal de chantier où sont consigné ses visites et ses constatations, les ordres de service donnés par celui-ci, les conditions climatiques pouvant jouer un rôle sur le déroulement des travaux, les visites et observations du conducteur d'opération et, le cas échéant, du coordonnateur SPS ou du contrôleur technique.</w:t>
      </w:r>
    </w:p>
    <w:p w14:paraId="38A5541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 journal est la propriété du maître de l'ouvrage à qui il est remis en fin d'opération.</w:t>
      </w:r>
    </w:p>
    <w:p w14:paraId="3997D909"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116E109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rendez-vous de chantier doivent être organisés par le maître d'oeuvre selon la fréquence suivante :</w:t>
      </w:r>
    </w:p>
    <w:p w14:paraId="467EBD3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1 réunion de chantier par semaine.</w:t>
      </w:r>
    </w:p>
    <w:p w14:paraId="072E5482"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20.9 – Ordres de service à destination du maître d'oeuvre</w:t>
      </w:r>
    </w:p>
    <w:p w14:paraId="176CAB1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ordres de service sont notifiés par le maître d'ouvrage au maître d'oeuvre.</w:t>
      </w:r>
    </w:p>
    <w:p w14:paraId="3EEB424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Lorsque le maître d'oeuvre estime que les prescriptions d'un ordre de service qui lui est notifié appellent des observations de sa part, il doit les notifier au signataire de l'ordre de service, dans un délai de quinze jours à compter de la date de réception de l'ordre de service, sous peine de forclusion.</w:t>
      </w:r>
    </w:p>
    <w:p w14:paraId="62598F5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d'oeuvre se conforme aux ordres de service qui lui sont notifiés, que ceux-ci aient ou non fait l'objet d'observations de sa part.</w:t>
      </w:r>
    </w:p>
    <w:p w14:paraId="20DD647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En cas de cotraitance, les ordres de service sont adressés au mandataire du groupement, qui a </w:t>
      </w:r>
      <w:proofErr w:type="gramStart"/>
      <w:r>
        <w:rPr>
          <w:rFonts w:ascii="Verdana" w:hAnsi="Verdana" w:cs="Times New Roman"/>
          <w:sz w:val="20"/>
          <w:szCs w:val="24"/>
        </w:rPr>
        <w:t>seul compétence</w:t>
      </w:r>
      <w:proofErr w:type="gramEnd"/>
      <w:r>
        <w:rPr>
          <w:rFonts w:ascii="Verdana" w:hAnsi="Verdana" w:cs="Times New Roman"/>
          <w:sz w:val="20"/>
          <w:szCs w:val="24"/>
        </w:rPr>
        <w:t xml:space="preserve"> pour formuler des observations au maître d'ouvrage.</w:t>
      </w:r>
    </w:p>
    <w:p w14:paraId="6862D003"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20.10 – Ordres de service à destination de l'entrepreneur</w:t>
      </w:r>
    </w:p>
    <w:p w14:paraId="31D2ED3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d'œuvre est chargé d'émettre tous les ordres de service à destination de l'entrepreneur avec copie au maître d'ouvrage.</w:t>
      </w:r>
    </w:p>
    <w:p w14:paraId="03E22C1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ordres de service doivent être écrits, datés, signés et numérotés par le maître d'œuvre, et adressés par celui-ci à l'entrepreneur dans les conditions précisées à l'article 3.8 du CCAG applicable aux marchés de travaux.</w:t>
      </w:r>
    </w:p>
    <w:p w14:paraId="16C17C05"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Cependant, dans les cas suivants, le maître d'œuvre ne peut émettre des ordres de services qu'après les avoir fait contresigner par le maître d'ouvrage ou après avoir obtenu une décision préalable formalisée :</w:t>
      </w:r>
    </w:p>
    <w:p w14:paraId="17BF7840"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modification</w:t>
      </w:r>
      <w:proofErr w:type="gramEnd"/>
      <w:r>
        <w:rPr>
          <w:rFonts w:ascii="Verdana" w:hAnsi="Verdana" w:cs="Times New Roman"/>
          <w:sz w:val="20"/>
          <w:szCs w:val="24"/>
        </w:rPr>
        <w:t xml:space="preserve"> du programme initial entraînant une modification de projet ;</w:t>
      </w:r>
    </w:p>
    <w:p w14:paraId="2774FE14"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notification</w:t>
      </w:r>
      <w:proofErr w:type="gramEnd"/>
      <w:r>
        <w:rPr>
          <w:rFonts w:ascii="Verdana" w:hAnsi="Verdana" w:cs="Times New Roman"/>
          <w:sz w:val="20"/>
          <w:szCs w:val="24"/>
        </w:rPr>
        <w:t xml:space="preserve"> de la date de commencement des travaux ;</w:t>
      </w:r>
    </w:p>
    <w:p w14:paraId="4E43FC0A"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passage</w:t>
      </w:r>
      <w:proofErr w:type="gramEnd"/>
      <w:r>
        <w:rPr>
          <w:rFonts w:ascii="Verdana" w:hAnsi="Verdana" w:cs="Times New Roman"/>
          <w:sz w:val="20"/>
          <w:szCs w:val="24"/>
        </w:rPr>
        <w:t xml:space="preserve"> à l'exécution d'une tranche optionnelle ;</w:t>
      </w:r>
    </w:p>
    <w:p w14:paraId="2128DD02"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notification</w:t>
      </w:r>
      <w:proofErr w:type="gramEnd"/>
      <w:r>
        <w:rPr>
          <w:rFonts w:ascii="Verdana" w:hAnsi="Verdana" w:cs="Times New Roman"/>
          <w:sz w:val="20"/>
          <w:szCs w:val="24"/>
        </w:rPr>
        <w:t xml:space="preserve"> de prix nouveaux aux entrepreneurs pour des ouvrages ou travaux non prévus ;</w:t>
      </w:r>
    </w:p>
    <w:p w14:paraId="37B3533E"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Interruption ou ajournement des travaux ;</w:t>
      </w:r>
    </w:p>
    <w:p w14:paraId="758D503B"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Modification de la masse des travaux susceptible d'apporter un changement dans l'importance des diverses natures d'ouvrage ;</w:t>
      </w:r>
    </w:p>
    <w:p w14:paraId="494BD80D"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Toutes décisions modifiant les dispositions des marchés de travaux.</w:t>
      </w:r>
    </w:p>
    <w:p w14:paraId="7DAC44D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p w14:paraId="54DA997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ordres de service faisant suite à une décision du maître de l'ouvrage doivent être notifiés à l'entrepreneur dans le délai de 7 jours (2 jours en cas d'urgence).</w:t>
      </w:r>
    </w:p>
    <w:p w14:paraId="613E59A6"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21 – Objet de la Consultation</w:t>
      </w:r>
    </w:p>
    <w:p w14:paraId="300212F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port de Saint-Cyprien engage une première phase de restructuration de ses installations d'amarrage afin d'améliorer sa capacité d'accueil et la sécurité des pontons. Ce programme comprend la création du ponton Z ainsi que l'extension du ponton T dans la marina des Capellans (structures flottantes).</w:t>
      </w:r>
    </w:p>
    <w:p w14:paraId="5A9E6984"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0A42DA5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ENVELOPPE PREVISIONNELLE DES TRAVAUX : </w:t>
      </w:r>
    </w:p>
    <w:p w14:paraId="41BF69A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LOT 1 : 1 550 000 € HT maximum, pour la création et l'extension des pontons flottants ; maximum à ne pas dépasser pour respecter l'autorisation environnementale délivrée par la DREAL.</w:t>
      </w:r>
    </w:p>
    <w:p w14:paraId="674576B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LOT 2 : 350 000 euros HT pour l'opération de rabattage de pieux.</w:t>
      </w:r>
    </w:p>
    <w:p w14:paraId="6EE87A7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Soit un total de 1 900 000 euros HT</w:t>
      </w:r>
    </w:p>
    <w:p w14:paraId="67AFDABC"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60674985"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Cette phase inclut également des travaux de renforcement des infrastructures existantes, avec le rabattage de 43 pieux en acier destinés à consolider les pontons K, L, M, N, </w:t>
      </w:r>
      <w:proofErr w:type="spellStart"/>
      <w:r>
        <w:rPr>
          <w:rFonts w:ascii="Verdana" w:hAnsi="Verdana" w:cs="Times New Roman"/>
          <w:sz w:val="20"/>
          <w:szCs w:val="24"/>
        </w:rPr>
        <w:t>Qf</w:t>
      </w:r>
      <w:proofErr w:type="spellEnd"/>
      <w:r>
        <w:rPr>
          <w:rFonts w:ascii="Verdana" w:hAnsi="Verdana" w:cs="Times New Roman"/>
          <w:sz w:val="20"/>
          <w:szCs w:val="24"/>
        </w:rPr>
        <w:t xml:space="preserve"> et Rf, situés dans le bassin sud. </w:t>
      </w:r>
    </w:p>
    <w:p w14:paraId="757C4A6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L'ensemble de ces actions vise à moderniser les équipements portuaires, à les sécuriser et à optimiser les conditions d'accueil des plaisanciers.</w:t>
      </w:r>
    </w:p>
    <w:p w14:paraId="3C3E6DFD"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420E5B6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Soit avec 2 lots :</w:t>
      </w:r>
    </w:p>
    <w:p w14:paraId="3BD545C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Lot 1 : pontons flottants</w:t>
      </w:r>
    </w:p>
    <w:p w14:paraId="7FE1AD9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Lot 2 : rabattage</w:t>
      </w:r>
    </w:p>
    <w:p w14:paraId="0FCD67B4" w14:textId="77777777" w:rsidR="003B3367" w:rsidRPr="00367BC7" w:rsidRDefault="00EF7F64">
      <w:pPr>
        <w:autoSpaceDE w:val="0"/>
        <w:autoSpaceDN w:val="0"/>
        <w:adjustRightInd w:val="0"/>
        <w:spacing w:before="100" w:after="100" w:line="240" w:lineRule="auto"/>
        <w:rPr>
          <w:rFonts w:ascii="Verdana" w:hAnsi="Verdana" w:cs="Times New Roman"/>
          <w:b/>
          <w:sz w:val="24"/>
          <w:szCs w:val="24"/>
        </w:rPr>
      </w:pPr>
      <w:r w:rsidRPr="00367BC7">
        <w:rPr>
          <w:rFonts w:ascii="Verdana" w:hAnsi="Verdana" w:cs="Times New Roman"/>
          <w:b/>
          <w:sz w:val="24"/>
          <w:szCs w:val="24"/>
        </w:rPr>
        <w:t>Article 22 – Mission de Maitrise d'oeuvre</w:t>
      </w:r>
    </w:p>
    <w:p w14:paraId="71397853" w14:textId="77777777" w:rsidR="009209B3" w:rsidRPr="00367BC7" w:rsidRDefault="009209B3" w:rsidP="009209B3">
      <w:pPr>
        <w:numPr>
          <w:ilvl w:val="0"/>
          <w:numId w:val="1"/>
        </w:numPr>
        <w:autoSpaceDE w:val="0"/>
        <w:autoSpaceDN w:val="0"/>
        <w:adjustRightInd w:val="0"/>
        <w:spacing w:before="100" w:after="0" w:line="240" w:lineRule="auto"/>
        <w:ind w:left="580" w:hanging="250"/>
        <w:rPr>
          <w:rFonts w:ascii="Verdana" w:hAnsi="Verdana" w:cs="Times New Roman"/>
          <w:sz w:val="20"/>
          <w:szCs w:val="24"/>
        </w:rPr>
      </w:pPr>
      <w:r w:rsidRPr="00367BC7">
        <w:rPr>
          <w:rFonts w:ascii="Verdana" w:hAnsi="Verdana" w:cs="Times New Roman"/>
          <w:sz w:val="20"/>
          <w:szCs w:val="24"/>
        </w:rPr>
        <w:t>Esquisse (ESQ) ;</w:t>
      </w:r>
    </w:p>
    <w:p w14:paraId="44CA043C" w14:textId="77777777" w:rsidR="009209B3" w:rsidRPr="00367BC7" w:rsidRDefault="009209B3" w:rsidP="009209B3">
      <w:pPr>
        <w:numPr>
          <w:ilvl w:val="0"/>
          <w:numId w:val="1"/>
        </w:numPr>
        <w:autoSpaceDE w:val="0"/>
        <w:autoSpaceDN w:val="0"/>
        <w:adjustRightInd w:val="0"/>
        <w:spacing w:before="100" w:after="0" w:line="240" w:lineRule="auto"/>
        <w:ind w:left="580" w:hanging="250"/>
        <w:rPr>
          <w:rFonts w:ascii="Verdana" w:hAnsi="Verdana" w:cs="Times New Roman"/>
          <w:sz w:val="20"/>
          <w:szCs w:val="24"/>
        </w:rPr>
      </w:pPr>
      <w:r w:rsidRPr="00367BC7">
        <w:rPr>
          <w:rFonts w:ascii="Verdana" w:hAnsi="Verdana" w:cs="Times New Roman"/>
          <w:sz w:val="20"/>
          <w:szCs w:val="24"/>
        </w:rPr>
        <w:t>Avant-projet (AVP) ;</w:t>
      </w:r>
    </w:p>
    <w:p w14:paraId="151143D9" w14:textId="77777777" w:rsidR="009209B3" w:rsidRPr="00367BC7" w:rsidRDefault="009209B3" w:rsidP="009209B3">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Etudes de projet (PRO) ;</w:t>
      </w:r>
    </w:p>
    <w:p w14:paraId="52648B56" w14:textId="77777777" w:rsidR="009209B3" w:rsidRPr="00367BC7" w:rsidRDefault="009209B3" w:rsidP="009209B3">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Assistance au maître de l'ouvrage pour la passation des marchés publics de travaux (AMT) ;</w:t>
      </w:r>
    </w:p>
    <w:p w14:paraId="76424239" w14:textId="77777777" w:rsidR="009209B3" w:rsidRPr="00367BC7" w:rsidRDefault="009209B3" w:rsidP="009209B3">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Etudes de synthèse (SYN) ;</w:t>
      </w:r>
    </w:p>
    <w:p w14:paraId="66F378B2" w14:textId="77777777" w:rsidR="009209B3" w:rsidRPr="00367BC7" w:rsidRDefault="009209B3" w:rsidP="009209B3">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Visa des études d'exécution établies par les entreprises (VISA) ;</w:t>
      </w:r>
    </w:p>
    <w:p w14:paraId="256A2566" w14:textId="77777777" w:rsidR="009209B3" w:rsidRPr="00367BC7" w:rsidRDefault="009209B3" w:rsidP="009209B3">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Direction d'exécution des contrats de travaux (DET) ;</w:t>
      </w:r>
    </w:p>
    <w:p w14:paraId="742980A2" w14:textId="77777777" w:rsidR="009209B3" w:rsidRPr="00367BC7" w:rsidRDefault="009209B3" w:rsidP="009209B3">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Ordonnancement, pilotage et coordination (OPC)</w:t>
      </w:r>
    </w:p>
    <w:p w14:paraId="7738CB19" w14:textId="77777777" w:rsidR="009209B3" w:rsidRPr="00367BC7" w:rsidRDefault="009209B3" w:rsidP="009209B3">
      <w:pPr>
        <w:numPr>
          <w:ilvl w:val="0"/>
          <w:numId w:val="1"/>
        </w:numPr>
        <w:autoSpaceDE w:val="0"/>
        <w:autoSpaceDN w:val="0"/>
        <w:adjustRightInd w:val="0"/>
        <w:spacing w:after="0" w:line="240" w:lineRule="auto"/>
        <w:ind w:left="580" w:hanging="250"/>
        <w:rPr>
          <w:rFonts w:ascii="Verdana" w:hAnsi="Verdana" w:cs="Times New Roman"/>
          <w:sz w:val="20"/>
          <w:szCs w:val="24"/>
        </w:rPr>
      </w:pPr>
      <w:r w:rsidRPr="00367BC7">
        <w:rPr>
          <w:rFonts w:ascii="Verdana" w:hAnsi="Verdana" w:cs="Times New Roman"/>
          <w:sz w:val="20"/>
          <w:szCs w:val="24"/>
        </w:rPr>
        <w:t>Assistance lors des opérations de réception et pendant la période de garantie de parfait achèvement (AOR) ;</w:t>
      </w:r>
    </w:p>
    <w:p w14:paraId="4419DE2E"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23 – Sous-traitance des prestations</w:t>
      </w:r>
    </w:p>
    <w:p w14:paraId="2F6D67F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d'œuvre peut, à tout moment, sous-traiter l'exécution de certaines parties du présent marché, sous réserve de l'acceptation des sous-traitants et de l'agrément des conditions de paiement de ceux-ci par le pouvoir adjudicateur et, pour les architectes, dans les conditions prévues à l'article 37 du décret n°80-217 du 20 mars 1980 portant code des devoirs professionnels.</w:t>
      </w:r>
    </w:p>
    <w:p w14:paraId="133B80F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conditions de l'exercice de cette sous-traitance sont définies à l'article 3.6 du CCAG-MOE.</w:t>
      </w:r>
      <w:bookmarkStart w:id="14" w:name="PAIEMENTFORME"/>
      <w:bookmarkEnd w:id="14"/>
    </w:p>
    <w:p w14:paraId="6CCE9F8D"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24 – Forme des demandes de paiements</w:t>
      </w:r>
    </w:p>
    <w:p w14:paraId="4DCBC3A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demande de paiement mentionne le constat contradictoire sur la base duquel le montant à payer est établi.</w:t>
      </w:r>
    </w:p>
    <w:p w14:paraId="1D1ED3F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Aucune exigence particulière n'est imposée au titulaire concernant la forme de la demande de paiement. Celle-ci doit néanmoins respecter les usages de la profession et comporter les mentions légales obligatoires fixées à l'article L441-3 du code de commerce (nom et adresse des parties, date de la vente ou de la prestation de service, la quantité, la dénomination précise, le prix unitaire hors TVA des produits vendus et des services rendus ainsi que toute réduction de prix acquise à la date de la vente ou de</w:t>
      </w:r>
      <w:r>
        <w:rPr>
          <w:rFonts w:ascii="Verdana" w:hAnsi="Verdana" w:cs="Times New Roman"/>
          <w:sz w:val="20"/>
          <w:szCs w:val="24"/>
        </w:rPr>
        <w:t xml:space="preserve"> la prestation de service et directement liée à celle-ci).</w:t>
      </w:r>
    </w:p>
    <w:p w14:paraId="42B55CFA"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25 – Dématérialisation des paiements</w:t>
      </w:r>
    </w:p>
    <w:p w14:paraId="42BCC4E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facturation en ligne sera utilisée. En vertu de l'article L2192-1 du code de la commande publique, les titulaires de marchés conclus avec l'Etat, les collectivités territoriales et les établissements publics, ainsi que leurs sous-traitants admis au paiement direct, transmettent leurs factures sous forme électronique.</w:t>
      </w:r>
    </w:p>
    <w:p w14:paraId="5EDAA2D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Les opérateurs économiques ont l'obligation de transmettre leur facturation de façon dématérialisée au moyen de la plateforme chorus-pro.gouv.fr.</w:t>
      </w:r>
    </w:p>
    <w:p w14:paraId="04A5F28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conformer en utilisant ce portail.</w:t>
      </w:r>
    </w:p>
    <w:p w14:paraId="6D56693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date de réception d'une demande de paiement transmise par voie électronique correspond à la date de notification du message électronique informant l'acheteur de la mise à disposition de la facture sur le portail de facturation (ou, le cas échéant pour l'Etat, à la date d'horodatage de la facture par le système d'information budgétaire et comptable pour une facture transmise par échange de données informatisé).</w:t>
      </w:r>
    </w:p>
    <w:p w14:paraId="270EDE43"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0071794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Modalités pratiques pour transmettre les factures sur le portail Chorus</w:t>
      </w:r>
      <w:r>
        <w:rPr>
          <w:rFonts w:ascii="Verdana" w:hAnsi="Verdana" w:cs="Times New Roman"/>
          <w:sz w:val="20"/>
          <w:szCs w:val="24"/>
        </w:rPr>
        <w:t xml:space="preserve"> </w:t>
      </w:r>
    </w:p>
    <w:p w14:paraId="1C45359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Modalités pratiques pour transmettre les factures sur le portail Chorus </w:t>
      </w:r>
    </w:p>
    <w:p w14:paraId="262685B4"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2EE41C2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Les factures électroniques devront être transmises via le Portail Chorus Pro selon les obligations des entreprises. </w:t>
      </w:r>
    </w:p>
    <w:p w14:paraId="0019BB03"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762816F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demandes de paiement devront respecter les dispositions des articles D. 2192-2 et R.2192-3 du Code de la Commande publique et comprendre les mêmes éléments que ceux listés pour la présentation des factures papiers.</w:t>
      </w:r>
    </w:p>
    <w:p w14:paraId="7B055AF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Mentions obligatoires des factures électroniques : </w:t>
      </w:r>
    </w:p>
    <w:p w14:paraId="177F3D7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factures électroniques comportent les mentions obligatoires listées par l'article D2192-2 du code de la commande publique, sans se substituer aux mentions prévues par l'article L441-3 du code de commerce et l'article 242 nonies A du Code Général des Impôts au regard du droit fiscal.</w:t>
      </w:r>
    </w:p>
    <w:p w14:paraId="0765338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Modalités pratiques d'habilitation d'un tiers pour accéder au portail de facturation, lorsque ce tiers est habilité à recevoir les demandes de paiement</w:t>
      </w:r>
      <w:r>
        <w:rPr>
          <w:rFonts w:ascii="Verdana" w:hAnsi="Verdana" w:cs="Times New Roman"/>
          <w:sz w:val="20"/>
          <w:szCs w:val="24"/>
        </w:rPr>
        <w:t xml:space="preserve"> </w:t>
      </w:r>
    </w:p>
    <w:p w14:paraId="5076983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d'oeuvre doit créer une structure dans chorus pro. En étant paramétré comme "structure exclusivement MOA" le maître d'ouvrage peut alors lui ouvrir l'accès à l'espace facture des travaux</w:t>
      </w:r>
    </w:p>
    <w:p w14:paraId="70BA251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 xml:space="preserve">Mentions obligatoires des factures </w:t>
      </w:r>
      <w:proofErr w:type="gramStart"/>
      <w:r>
        <w:rPr>
          <w:rFonts w:ascii="Verdana" w:hAnsi="Verdana" w:cs="Times New Roman"/>
          <w:b/>
          <w:sz w:val="20"/>
          <w:szCs w:val="24"/>
        </w:rPr>
        <w:t>électroniques:</w:t>
      </w:r>
      <w:proofErr w:type="gramEnd"/>
      <w:r>
        <w:rPr>
          <w:rFonts w:ascii="Verdana" w:hAnsi="Verdana" w:cs="Times New Roman"/>
          <w:b/>
          <w:sz w:val="20"/>
          <w:szCs w:val="24"/>
        </w:rPr>
        <w:t xml:space="preserve"> </w:t>
      </w:r>
      <w:r>
        <w:rPr>
          <w:rFonts w:ascii="Verdana" w:hAnsi="Verdana" w:cs="Times New Roman"/>
          <w:sz w:val="20"/>
          <w:szCs w:val="24"/>
        </w:rPr>
        <w:t xml:space="preserve"> </w:t>
      </w:r>
    </w:p>
    <w:p w14:paraId="302E86A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date d'émission de la facture; la désignation de l'émetteur et du destinataire de la facture; l'identifiant de l'émetteur et du destinataire sur Chorus Pro (SIRET ou numéro de TVA intracommunautaire, RIDET, numéro TAHITI, etc.) – le numéro unique basé sur une séquence chronologique et continue établie par l'émetteur de la facture, en cas de contrat exécuté au moyen de bons de commande, le numéro du bon de commande ou, dans les autres cas, les références du contrat ou le numéro de l'engagement attribué pa</w:t>
      </w:r>
      <w:r>
        <w:rPr>
          <w:rFonts w:ascii="Verdana" w:hAnsi="Verdana" w:cs="Times New Roman"/>
          <w:sz w:val="20"/>
          <w:szCs w:val="24"/>
        </w:rPr>
        <w:t xml:space="preserve">r le système d'information financière et comptable du destinataire de la facture, la désignation du payeur, avec l'indication, pour les personnes publiques, du code d'identification du service chargé du paiement – la date de livraison des fournitures ou d'exécution des services ou des travaux ; – la quantité et la dénomination précise des produits livrés, des prestations et travaux réalisés ; – le prix unitaire hors taxes des produits livrés, des prestations et travaux réalisés ou, lorsqu'il y a lieu, leur </w:t>
      </w:r>
      <w:r>
        <w:rPr>
          <w:rFonts w:ascii="Verdana" w:hAnsi="Verdana" w:cs="Times New Roman"/>
          <w:sz w:val="20"/>
          <w:szCs w:val="24"/>
        </w:rPr>
        <w:t>prix forfaitaire; le montant total hors taxes et le montant de la taxe à payer, ainsi que la répartition de ces montants par taux de taxe sur la valeur ajoutée, ou, le cas échéant, le bénéfice d'une exonération ; – le cas échéant, les modalités particulières de règlement ; – le cas échéant, les renseignements relatifs aux déductions ou versements complémentaires, l'identification, le cas échéant, du représentant fiscal de l'émetteur de la facture</w:t>
      </w:r>
    </w:p>
    <w:p w14:paraId="03F17D15"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26 – Demande de paiement-acomptes</w:t>
      </w:r>
    </w:p>
    <w:p w14:paraId="6258472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Chaque acompte fait l'objet d'une demande de paiement établie par le maître d'œuvre à laquelle il joint les pièces relatives à la réalisation des prestations, nécessaires à la justification du paiement.</w:t>
      </w:r>
    </w:p>
    <w:p w14:paraId="6FAD6ED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lastRenderedPageBreak/>
        <w:t xml:space="preserve">Article 26.1 – Fractionnement des acomptes </w:t>
      </w:r>
    </w:p>
    <w:p w14:paraId="6B8119B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remise d'une demande de paiement intervient au début de chaque mois pour les prestations effectuées le mois précédent au fur et à mesure de l'avancement des éléments de mission, en application de l'article 11.5 du CCAG-MOE et conformément aux articles R. 2191-21 et R. 2191-22 du code de la commande publique, et dans la limite de l'échéancier ci-dessous.</w:t>
      </w:r>
    </w:p>
    <w:p w14:paraId="52C59BB6"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Etudes d'</w:t>
      </w:r>
      <w:proofErr w:type="spellStart"/>
      <w:r>
        <w:rPr>
          <w:rFonts w:ascii="Verdana" w:hAnsi="Verdana" w:cs="Times New Roman"/>
          <w:b/>
          <w:sz w:val="20"/>
          <w:szCs w:val="24"/>
        </w:rPr>
        <w:t>avant projet</w:t>
      </w:r>
      <w:proofErr w:type="spellEnd"/>
      <w:r>
        <w:rPr>
          <w:rFonts w:ascii="Verdana" w:hAnsi="Verdana" w:cs="Times New Roman"/>
          <w:b/>
          <w:sz w:val="20"/>
          <w:szCs w:val="24"/>
        </w:rPr>
        <w:t xml:space="preserve"> (AVP) :</w:t>
      </w:r>
      <w:r>
        <w:rPr>
          <w:rFonts w:ascii="Verdana" w:hAnsi="Verdana" w:cs="Times New Roman"/>
          <w:sz w:val="20"/>
          <w:szCs w:val="24"/>
        </w:rPr>
        <w:t xml:space="preserve"> Les prestations sont réglées à hauteur de 80% du montant de l'élément (AVP) à la remise du dossier au maître d'ouvrage puis de 20% à son approbation.</w:t>
      </w:r>
    </w:p>
    <w:p w14:paraId="01F3818B"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Etudes de projet (PRO) :</w:t>
      </w:r>
      <w:r>
        <w:rPr>
          <w:rFonts w:ascii="Verdana" w:hAnsi="Verdana" w:cs="Times New Roman"/>
          <w:sz w:val="20"/>
          <w:szCs w:val="24"/>
        </w:rPr>
        <w:t xml:space="preserve"> Les prestations sont réglées à hauteur de 80% du montant de l'élément (PRO) à la remise du dossier au maître d'ouvrage puis de 20% à son approbation.</w:t>
      </w:r>
    </w:p>
    <w:p w14:paraId="75BD5E9A"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Assistance pour la passation des marchés de travaux (AMT) :</w:t>
      </w:r>
      <w:r>
        <w:rPr>
          <w:rFonts w:ascii="Verdana" w:hAnsi="Verdana" w:cs="Times New Roman"/>
          <w:sz w:val="20"/>
          <w:szCs w:val="24"/>
        </w:rPr>
        <w:t xml:space="preserve"> Les prestations sont réglées à hauteur de 50% du montant de l'élément (AMT) à la remise du DCE au maître d'ouvrage, à hauteur de 30% à la remise du rapport d'analyse des offres, et à hauteur de 20% après la mise au point des marchés de travaux.</w:t>
      </w:r>
    </w:p>
    <w:p w14:paraId="7CE3211F"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Etudes de synthèse (SYN) :</w:t>
      </w:r>
      <w:r>
        <w:rPr>
          <w:rFonts w:ascii="Verdana" w:hAnsi="Verdana" w:cs="Times New Roman"/>
          <w:sz w:val="20"/>
          <w:szCs w:val="24"/>
        </w:rPr>
        <w:t xml:space="preserve"> Les prestations (SYN) ne peuvent faire l'objet d'un règlement qu'après achèvement total de chaque élément et réception par le maître de l'ouvrage. Toutefois, dans le cas où leur délai d'exécution est important, ces prestations peuvent être réglées avant leur achèvement afin que l'intervalle entre deux acomptes successifs n'excède pas trois mois. Dans ce cas, l'état périodique établi par le maître d'œuvre comporte le compte rendu d'avancement de l'étude et indique le pourcentage approximatif du délai d'avan</w:t>
      </w:r>
      <w:r>
        <w:rPr>
          <w:rFonts w:ascii="Verdana" w:hAnsi="Verdana" w:cs="Times New Roman"/>
          <w:sz w:val="20"/>
          <w:szCs w:val="24"/>
        </w:rPr>
        <w:t>cement de leur exécution. Ce pourcentage, après accord du maître de l'ouvrage, sert de base au calcul du montant de l'acompte correspondant.</w:t>
      </w:r>
    </w:p>
    <w:p w14:paraId="307A97AD"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Examen de la conformité (VISA) :</w:t>
      </w:r>
      <w:r>
        <w:rPr>
          <w:rFonts w:ascii="Verdana" w:hAnsi="Verdana" w:cs="Times New Roman"/>
          <w:sz w:val="20"/>
          <w:szCs w:val="24"/>
        </w:rPr>
        <w:t xml:space="preserve"> Les prestations (VISA) ne peuvent faire l'objet d'un règlement qu'après achèvement total de chaque élément et réception par le maître de l'ouvrage. Toutefois, dans le cas où leur délai d'exécution est important, ces prestations peuvent être réglées avant leur achèvement afin que l'intervalle entre deux acomptes successifs n'excède pas trois mois. Dans ce cas, l'état périodique établi par le maître d'œuvre comporte le compte rendu d'avancement de l'étude et indique le pourcentage approximatif du délai d'ava</w:t>
      </w:r>
      <w:r>
        <w:rPr>
          <w:rFonts w:ascii="Verdana" w:hAnsi="Verdana" w:cs="Times New Roman"/>
          <w:sz w:val="20"/>
          <w:szCs w:val="24"/>
        </w:rPr>
        <w:t>ncement de leur exécution. Ce pourcentage, après accord du maître de l'ouvrage, sert de base au calcul du montant de l'acompte correspondant.</w:t>
      </w:r>
    </w:p>
    <w:p w14:paraId="6A199399"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Direction de l'exécution des contrats de travaux (DET) :</w:t>
      </w:r>
      <w:r>
        <w:rPr>
          <w:rFonts w:ascii="Verdana" w:hAnsi="Verdana" w:cs="Times New Roman"/>
          <w:sz w:val="20"/>
          <w:szCs w:val="24"/>
        </w:rPr>
        <w:t xml:space="preserve"> Les prestations sont réglées d'une part à hauteur de 90% du montant de l'élément de mission (DET) au prorata de l'avancement de la mission. A cet effet, l'état périodique établi par le maître d'œuvre indique le pourcentage approximatif du délai d'avancement de leur exécution.</w:t>
      </w:r>
    </w:p>
    <w:p w14:paraId="724046EB"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Elles sont réglées d'autre part à hauteur de 10% à la remise du décompte général définitif au maître d'ouvrage.</w:t>
      </w:r>
    </w:p>
    <w:p w14:paraId="26EDAC9E"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Assistance aux opérations de réception (AOR) :</w:t>
      </w:r>
      <w:r>
        <w:rPr>
          <w:rFonts w:ascii="Verdana" w:hAnsi="Verdana" w:cs="Times New Roman"/>
          <w:sz w:val="20"/>
          <w:szCs w:val="24"/>
        </w:rPr>
        <w:t xml:space="preserve"> Les prestations (AOR) sont réglées :</w:t>
      </w:r>
    </w:p>
    <w:p w14:paraId="0703FDFF" w14:textId="77777777" w:rsidR="003B3367" w:rsidRDefault="00EF7F64" w:rsidP="0078548E">
      <w:pPr>
        <w:numPr>
          <w:ilvl w:val="0"/>
          <w:numId w:val="2"/>
        </w:numPr>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 xml:space="preserve">D'une part à hauteur de 70% de l'élément de mission (AOR) au prorata des réceptions </w:t>
      </w:r>
      <w:proofErr w:type="spellStart"/>
      <w:r>
        <w:rPr>
          <w:rFonts w:ascii="Verdana" w:hAnsi="Verdana" w:cs="Times New Roman"/>
          <w:sz w:val="20"/>
          <w:szCs w:val="24"/>
        </w:rPr>
        <w:t>effecutées</w:t>
      </w:r>
      <w:proofErr w:type="spellEnd"/>
      <w:r>
        <w:rPr>
          <w:rFonts w:ascii="Verdana" w:hAnsi="Verdana" w:cs="Times New Roman"/>
          <w:sz w:val="20"/>
          <w:szCs w:val="24"/>
        </w:rPr>
        <w:t xml:space="preserve"> avec réserves. A cet effet, l'état périodique établi par le maître d'œuvre indique le </w:t>
      </w:r>
      <w:proofErr w:type="spellStart"/>
      <w:r>
        <w:rPr>
          <w:rFonts w:ascii="Verdana" w:hAnsi="Verdana" w:cs="Times New Roman"/>
          <w:sz w:val="20"/>
          <w:szCs w:val="24"/>
        </w:rPr>
        <w:t>pourcentatge</w:t>
      </w:r>
      <w:proofErr w:type="spellEnd"/>
      <w:r>
        <w:rPr>
          <w:rFonts w:ascii="Verdana" w:hAnsi="Verdana" w:cs="Times New Roman"/>
          <w:sz w:val="20"/>
          <w:szCs w:val="24"/>
        </w:rPr>
        <w:t xml:space="preserve"> approximatif du délai d'avancement de leur exécution.</w:t>
      </w:r>
    </w:p>
    <w:p w14:paraId="3F33D5E3" w14:textId="77777777" w:rsidR="003B3367" w:rsidRDefault="00EF7F64" w:rsidP="0078548E">
      <w:pPr>
        <w:numPr>
          <w:ilvl w:val="0"/>
          <w:numId w:val="2"/>
        </w:numPr>
        <w:autoSpaceDE w:val="0"/>
        <w:autoSpaceDN w:val="0"/>
        <w:adjustRightInd w:val="0"/>
        <w:spacing w:after="0" w:line="240" w:lineRule="auto"/>
        <w:ind w:left="1160" w:hanging="250"/>
        <w:rPr>
          <w:rFonts w:ascii="Verdana" w:hAnsi="Verdana" w:cs="Times New Roman"/>
          <w:sz w:val="20"/>
          <w:szCs w:val="24"/>
        </w:rPr>
      </w:pPr>
      <w:r>
        <w:rPr>
          <w:rFonts w:ascii="Verdana" w:hAnsi="Verdana" w:cs="Times New Roman"/>
          <w:sz w:val="20"/>
          <w:szCs w:val="24"/>
        </w:rPr>
        <w:t>D'autre part à hauteur de 30% à la levée de l'ensemble des réserves.</w:t>
      </w:r>
    </w:p>
    <w:p w14:paraId="42A12C6C" w14:textId="77777777" w:rsidR="003B3367" w:rsidRDefault="00EF7F64">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t> </w:t>
      </w:r>
    </w:p>
    <w:p w14:paraId="3C320599" w14:textId="77777777" w:rsidR="003B3367" w:rsidRDefault="003B3367">
      <w:pPr>
        <w:autoSpaceDE w:val="0"/>
        <w:autoSpaceDN w:val="0"/>
        <w:adjustRightInd w:val="0"/>
        <w:spacing w:after="0" w:line="240" w:lineRule="auto"/>
        <w:rPr>
          <w:rFonts w:ascii="Verdana" w:hAnsi="Verdana" w:cs="Times New Roman"/>
          <w:sz w:val="20"/>
          <w:szCs w:val="24"/>
        </w:rPr>
      </w:pPr>
    </w:p>
    <w:p w14:paraId="660D9AA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26.2 – Rémunération des éléments de mission</w:t>
      </w:r>
    </w:p>
    <w:p w14:paraId="32F3750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montant de chaque acompte relatif aux éléments normalisés de la mission, considérés comme constituant des phases techniques d'exécution, est déterminé sous forme de pourcentage du montant initial du marché.</w:t>
      </w:r>
    </w:p>
    <w:p w14:paraId="40DD5E6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 tableau indiquant la décomposition de ces pourcentages est intégré à l'acte d'engagement et est à compléter par le maître d'œuvre.</w:t>
      </w:r>
    </w:p>
    <w:p w14:paraId="077AFBCC"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26.3 – Acceptation de la demande de paiement par le maître d'ouvrage</w:t>
      </w:r>
    </w:p>
    <w:p w14:paraId="141A6FF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est fait application de l'article 11.6 du CCAG-MOE.</w:t>
      </w:r>
    </w:p>
    <w:p w14:paraId="5545382E"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27– Demande de paiement pour solde</w:t>
      </w:r>
    </w:p>
    <w:p w14:paraId="5B892F6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Demande de paiement finale</w:t>
      </w:r>
      <w:r>
        <w:rPr>
          <w:rFonts w:ascii="Verdana" w:hAnsi="Verdana" w:cs="Times New Roman"/>
          <w:sz w:val="20"/>
          <w:szCs w:val="24"/>
        </w:rPr>
        <w:t xml:space="preserve"> </w:t>
      </w:r>
    </w:p>
    <w:p w14:paraId="38ED45F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est fait application de l'article 11.7 du CCAG-MOE. Le décompte final établi par le maître d'œuvre détaille :</w:t>
      </w:r>
    </w:p>
    <w:p w14:paraId="01A1AE49"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le</w:t>
      </w:r>
      <w:proofErr w:type="gramEnd"/>
      <w:r>
        <w:rPr>
          <w:rFonts w:ascii="Verdana" w:hAnsi="Verdana" w:cs="Times New Roman"/>
          <w:sz w:val="20"/>
          <w:szCs w:val="24"/>
        </w:rPr>
        <w:t xml:space="preserve"> forfait définitif de rémunération ;</w:t>
      </w:r>
    </w:p>
    <w:p w14:paraId="32A7D7AC"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le</w:t>
      </w:r>
      <w:proofErr w:type="gramEnd"/>
      <w:r>
        <w:rPr>
          <w:rFonts w:ascii="Verdana" w:hAnsi="Verdana" w:cs="Times New Roman"/>
          <w:sz w:val="20"/>
          <w:szCs w:val="24"/>
        </w:rPr>
        <w:t xml:space="preserve"> montant des missions complémentaires ;</w:t>
      </w:r>
    </w:p>
    <w:p w14:paraId="6C09C151"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le</w:t>
      </w:r>
      <w:proofErr w:type="gramEnd"/>
      <w:r>
        <w:rPr>
          <w:rFonts w:ascii="Verdana" w:hAnsi="Verdana" w:cs="Times New Roman"/>
          <w:sz w:val="20"/>
          <w:szCs w:val="24"/>
        </w:rPr>
        <w:t xml:space="preserve"> montant des révisions de prix applicables intégrant le dernier état des index connus à la date d'établissement du projet de décompte final ;</w:t>
      </w:r>
    </w:p>
    <w:p w14:paraId="4D4A31FB"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le</w:t>
      </w:r>
      <w:proofErr w:type="gramEnd"/>
      <w:r>
        <w:rPr>
          <w:rFonts w:ascii="Verdana" w:hAnsi="Verdana" w:cs="Times New Roman"/>
          <w:sz w:val="20"/>
          <w:szCs w:val="24"/>
        </w:rPr>
        <w:t xml:space="preserve"> montant des pénalités appliquées par le maître d'ouvrage et acceptées par le maître d'œuvre ;</w:t>
      </w:r>
    </w:p>
    <w:p w14:paraId="326C3B7B"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le</w:t>
      </w:r>
      <w:proofErr w:type="gramEnd"/>
      <w:r>
        <w:rPr>
          <w:rFonts w:ascii="Verdana" w:hAnsi="Verdana" w:cs="Times New Roman"/>
          <w:sz w:val="20"/>
          <w:szCs w:val="24"/>
        </w:rPr>
        <w:t xml:space="preserve"> montant des éventuelles réclamations non régularisées ;</w:t>
      </w:r>
    </w:p>
    <w:p w14:paraId="7D32BA97"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le</w:t>
      </w:r>
      <w:proofErr w:type="gramEnd"/>
      <w:r>
        <w:rPr>
          <w:rFonts w:ascii="Verdana" w:hAnsi="Verdana" w:cs="Times New Roman"/>
          <w:sz w:val="20"/>
          <w:szCs w:val="24"/>
        </w:rPr>
        <w:t xml:space="preserve"> récapitulatif des sommes perçues au titre des acomptes ;</w:t>
      </w:r>
    </w:p>
    <w:p w14:paraId="1E2D3C0D"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le</w:t>
      </w:r>
      <w:proofErr w:type="gramEnd"/>
      <w:r>
        <w:rPr>
          <w:rFonts w:ascii="Verdana" w:hAnsi="Verdana" w:cs="Times New Roman"/>
          <w:sz w:val="20"/>
          <w:szCs w:val="24"/>
        </w:rPr>
        <w:t xml:space="preserve"> solde, distinguant l'incidence de la TVA.</w:t>
      </w:r>
    </w:p>
    <w:p w14:paraId="486588A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Décompte général définitif</w:t>
      </w:r>
      <w:r>
        <w:rPr>
          <w:rFonts w:ascii="Verdana" w:hAnsi="Verdana" w:cs="Times New Roman"/>
          <w:sz w:val="20"/>
          <w:szCs w:val="24"/>
        </w:rPr>
        <w:t xml:space="preserve"> </w:t>
      </w:r>
    </w:p>
    <w:p w14:paraId="7A39396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est fait application de l'article 11.8 du CCAG-MOE.</w:t>
      </w:r>
      <w:bookmarkStart w:id="15" w:name="PAIECOTRAITANT"/>
      <w:bookmarkEnd w:id="15"/>
    </w:p>
    <w:p w14:paraId="005BF51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28 – Paiement des cotraitants</w:t>
      </w:r>
    </w:p>
    <w:p w14:paraId="62D74B8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En cas de groupement conjoint ou solidaire, chaque membre du groupement perçoit directement les sommes se rapportant à l'exécution de ses propres prestations.</w:t>
      </w:r>
    </w:p>
    <w:p w14:paraId="787851E7"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3AEB026E"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64C90502"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29 – Paiement des sous-traitants</w:t>
      </w:r>
    </w:p>
    <w:p w14:paraId="0ED20FC5"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prestations exécutées par les sous-traitants, dont les conditions de paiement ont été agréées par le pouvoir adjudicateur, sont payées dans les conditions financières prévues par le CCP ou par un acte spécial.</w:t>
      </w:r>
    </w:p>
    <w:p w14:paraId="2BB3BD94"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30 – Monnaie de compte du marché</w:t>
      </w:r>
    </w:p>
    <w:p w14:paraId="297C956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 monnaie de compte du marché est l'euro pour toutes les parties prenantes (sous-traitants compris).</w:t>
      </w:r>
      <w:bookmarkStart w:id="16" w:name="DELAIPAIEMENT"/>
      <w:bookmarkEnd w:id="16"/>
    </w:p>
    <w:p w14:paraId="2B7C8AED"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31 – Délai de paiement</w:t>
      </w:r>
    </w:p>
    <w:p w14:paraId="63EA7F4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conditions de mise en œuvre du délai maximum de paiement sont celles énoncées par les articles L2192-10 à L2192-14 et R2192-12 à R2192-36 du code de la commande publique.</w:t>
      </w:r>
    </w:p>
    <w:p w14:paraId="36210D0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Sous réserve des dispositions prévues aux articles R. 2192-13, R. 2192-17 et R. 2192-18, le délai de paiement court à compter de la date de réception de la demande de paiement par le pouvoir adjudicateur ou, si le marché le prévoit, par le maître d'œuvre ou toute autre personne habilitée à cet effet.</w:t>
      </w:r>
    </w:p>
    <w:p w14:paraId="2CFD774C" w14:textId="77777777" w:rsidR="003B3367" w:rsidRDefault="003B3367">
      <w:pPr>
        <w:autoSpaceDE w:val="0"/>
        <w:autoSpaceDN w:val="0"/>
        <w:adjustRightInd w:val="0"/>
        <w:spacing w:after="0" w:line="240" w:lineRule="auto"/>
        <w:jc w:val="both"/>
        <w:rPr>
          <w:rFonts w:ascii="Verdana" w:hAnsi="Verdana" w:cs="Times New Roman"/>
          <w:sz w:val="20"/>
          <w:szCs w:val="24"/>
        </w:rPr>
      </w:pPr>
    </w:p>
    <w:p w14:paraId="12D6697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paiement des sommes dues est effectué dans un délai global maximum de 30 jours.</w:t>
      </w:r>
    </w:p>
    <w:p w14:paraId="4698BF5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b/>
          <w:sz w:val="20"/>
          <w:szCs w:val="24"/>
        </w:rPr>
        <w:t xml:space="preserve">Intérêts moratoires et indemnités sanctionnant le retard de paiement </w:t>
      </w:r>
      <w:r>
        <w:rPr>
          <w:rFonts w:ascii="Verdana" w:hAnsi="Verdana" w:cs="Times New Roman"/>
          <w:sz w:val="20"/>
          <w:szCs w:val="24"/>
        </w:rPr>
        <w:t xml:space="preserve"> </w:t>
      </w:r>
    </w:p>
    <w:p w14:paraId="6CF04C08"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taux des intérêts moratoires prévu à l'article L2192-13 du code de la commande publique est égal au taux d'intérêt de la principale facilité de refinancement appliquée par la Banque Centrale Européenne à son opération de refinancement principal la plus récente, en vigueur au premier jour du semestre de l'année civile au cours duquel les intérêts moratoires ont commencé à courir, majoré de huit points de pourcentage.</w:t>
      </w:r>
    </w:p>
    <w:p w14:paraId="59A1C54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En vertu de l'article L2192-13 alinéa 3 du code de la commande publique, le retard de paiement donne lieu, de plein droit et sans autre formalité, au versement d'une indemnité </w:t>
      </w:r>
      <w:r>
        <w:rPr>
          <w:rFonts w:ascii="Verdana" w:hAnsi="Verdana" w:cs="Times New Roman"/>
          <w:sz w:val="20"/>
          <w:szCs w:val="24"/>
        </w:rPr>
        <w:lastRenderedPageBreak/>
        <w:t>forfaitaire pour frais de recouvrement de 40 euros, conformément à l'article D2192-35 du code de la commande publique.</w:t>
      </w:r>
    </w:p>
    <w:p w14:paraId="2E1AA7C9"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32 – Retenue de garantie</w:t>
      </w:r>
    </w:p>
    <w:p w14:paraId="4FA3A62E"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n'est pas prévu de retenue de garantie.</w:t>
      </w:r>
    </w:p>
    <w:p w14:paraId="542B1C95"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33 – Dispositions concernant l'avance</w:t>
      </w:r>
    </w:p>
    <w:p w14:paraId="14F4733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Aucune avance n'est prévue.</w:t>
      </w:r>
      <w:bookmarkStart w:id="17" w:name="RESPCIVPRO"/>
      <w:bookmarkEnd w:id="17"/>
    </w:p>
    <w:p w14:paraId="00F5053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34 – Assurances de responsabilité civile professionnelle</w:t>
      </w:r>
    </w:p>
    <w:p w14:paraId="52D4ADB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Conformément à l'article 9 du CCAG-MOE, le titulaire doit contracter les assurances permettant de garantir sa responsabilité à l'égard des tiers, victimes d'accidents ou de dommages causés par la conduite des prestations ou les modalités de leur exécution.</w:t>
      </w:r>
    </w:p>
    <w:p w14:paraId="441A51C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doit justifier dans un délai de quinze jours courant à compter de la notification du marché et avant tout début d'exécution de celui-ci, qu'il est titulaire de ces contrats d'assurances, au moyen d'une attestation établissant l'étendue de la responsabilité garantie.</w:t>
      </w:r>
    </w:p>
    <w:p w14:paraId="40C018FB"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A tout moment</w:t>
      </w:r>
      <w:proofErr w:type="gramEnd"/>
      <w:r>
        <w:rPr>
          <w:rFonts w:ascii="Verdana" w:hAnsi="Verdana" w:cs="Times New Roman"/>
          <w:sz w:val="20"/>
          <w:szCs w:val="24"/>
        </w:rPr>
        <w:t xml:space="preserve"> durant l'exécution du marché, le titulaire doit être en mesure de produire cette attestation, sur demande du pouvoir adjudicateur et dans un délai de quinze jours à compter de la réception de la demande.</w:t>
      </w:r>
    </w:p>
    <w:p w14:paraId="248B3F49"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35 – Assurances souscrites par le maître d'ouvrage</w:t>
      </w:r>
    </w:p>
    <w:p w14:paraId="0D078EC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maître d'ouvrage n'a souscrit à aucune assurance spécifique concernant l'opération.</w:t>
      </w:r>
      <w:bookmarkStart w:id="18" w:name="PENALITE"/>
      <w:bookmarkEnd w:id="18"/>
    </w:p>
    <w:p w14:paraId="75FDA8D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36 – Règles générales d'application des pénalités</w:t>
      </w:r>
    </w:p>
    <w:p w14:paraId="1F43D2B8"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36.1 Modalités de retenue des pénalités</w:t>
      </w:r>
    </w:p>
    <w:p w14:paraId="07F7ABB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Les pénalités constituent un élément du décompte général du marché qui ne peut pas être isolé du solde.</w:t>
      </w:r>
      <w:bookmarkStart w:id="19" w:name="PGPT"/>
      <w:bookmarkEnd w:id="19"/>
    </w:p>
    <w:p w14:paraId="43847C21"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36.2 Modalités d'imputation des pénalités en cas de groupement</w:t>
      </w:r>
    </w:p>
    <w:p w14:paraId="4C9ACB3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Conformément au CCAG, dans le cas d'un groupement d'opérateurs économiques pour lesquels le paiement est effectué à des comptes séparés, les pénalités sont réparties entre les membres du groupement conformément aux indications données par le mandataire.</w:t>
      </w:r>
    </w:p>
    <w:p w14:paraId="6973C76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Dans l'attente de ces indications, les pénalités sont retenues en totalité sur les sommes dues au mandataire, sans que cette opération engage la responsabilité du maître d'ouvrage à l'égard des autres opérateurs économiques.</w:t>
      </w:r>
    </w:p>
    <w:p w14:paraId="19B608B3"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37 – Pénalités pour absence aux réunions</w:t>
      </w:r>
    </w:p>
    <w:p w14:paraId="777870A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le titulaire ou son représentant ne se rend pas dans les bureaux du maître d'ouvrage ou sur le chantier toutes les fois qu'il en est requis, il subit, sans mise en demeure préalable, une pénalité forfaitaire fixée à 200 euros, pour toute absence constatée.</w:t>
      </w:r>
    </w:p>
    <w:p w14:paraId="628778C8"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38 – Pénalités de retard </w:t>
      </w:r>
    </w:p>
    <w:p w14:paraId="02318C1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est fait application des dispositions de l'article 16.2.3 du CCAG-MOE sur les pénalités de retard, en ce qui concerne la remise des documents d'études prévus par éléments de missions.</w:t>
      </w:r>
      <w:bookmarkStart w:id="20" w:name="PLAFOND"/>
      <w:bookmarkEnd w:id="20"/>
    </w:p>
    <w:p w14:paraId="41D721D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38.1 Plafonnement des pénalités de retard</w:t>
      </w:r>
    </w:p>
    <w:p w14:paraId="753B3C9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Par dérogation à l'article 16.2.2 du CCAG-MOE, le montant total des pénalités de retard ne peut dépasser 25 % du montant hors taxes de l'ensemble du marché. Le montant hors taxes de l'ensemble du marché est celui qui résulte des prévisions du marché, c'est-à-dire du marché initial éventuellement modifié ou complété par les avenants intervenus.</w:t>
      </w:r>
      <w:bookmarkStart w:id="21" w:name="PEXO"/>
      <w:bookmarkEnd w:id="21"/>
    </w:p>
    <w:p w14:paraId="7C90F9E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38.2 Exonération des pénalités de retard</w:t>
      </w:r>
    </w:p>
    <w:p w14:paraId="60D0B71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lastRenderedPageBreak/>
        <w:t>Les pénalités ne donnent pas lieu à une quelconque exonération en deçà d'un certain montant de pénalité, comme prévu à l'article 16.2.1 du CCAG-MOE. Les pénalités sont intégralement dues au pouvoir adjudicateur.</w:t>
      </w:r>
      <w:bookmarkStart w:id="22" w:name="PDR"/>
      <w:bookmarkEnd w:id="22"/>
    </w:p>
    <w:p w14:paraId="420BC30B"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38.3 Mise en oeuvre des pénalités de retard</w:t>
      </w:r>
    </w:p>
    <w:p w14:paraId="58465BDB"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Les pénalités de retard ne sont appliquées que </w:t>
      </w:r>
      <w:proofErr w:type="gramStart"/>
      <w:r>
        <w:rPr>
          <w:rFonts w:ascii="Verdana" w:hAnsi="Verdana" w:cs="Times New Roman"/>
          <w:sz w:val="20"/>
          <w:szCs w:val="24"/>
        </w:rPr>
        <w:t>suite à une</w:t>
      </w:r>
      <w:proofErr w:type="gramEnd"/>
      <w:r>
        <w:rPr>
          <w:rFonts w:ascii="Verdana" w:hAnsi="Verdana" w:cs="Times New Roman"/>
          <w:sz w:val="20"/>
          <w:szCs w:val="24"/>
        </w:rPr>
        <w:t xml:space="preserve"> phase de contradictoire avec le titulaire du marché, invité par l'acheteur à présenter ses observations, comme indiqué à l'article 16.2.4 du CCAG-MOE.</w:t>
      </w:r>
      <w:bookmarkStart w:id="23" w:name="PMOEOS"/>
      <w:bookmarkEnd w:id="23"/>
    </w:p>
    <w:p w14:paraId="1E3EB8C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38.4 – Pénalités pour retard dans la délivrance des ordres de service</w:t>
      </w:r>
    </w:p>
    <w:p w14:paraId="67426F9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Par dérogation à l'article 16.2.3 du CCAG-MOE, la carence constatée du maître d'œuvre dans la délivrance des ordres de service expose celui-ci à l'application d'une pénalité de 350 euros par jour de retard (compris entre la date où l'ordre de service aurait dû être délivré et celle où il l'a été réellement).</w:t>
      </w:r>
    </w:p>
    <w:p w14:paraId="7ABF1B5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montant de la pénalité est arrondi à l'euro supérieur.</w:t>
      </w:r>
      <w:bookmarkStart w:id="24" w:name="PMOEVERIFDEFAUT"/>
      <w:bookmarkEnd w:id="24"/>
    </w:p>
    <w:p w14:paraId="1089AB22"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38.5 – Pénalités en cas de retard dans la vérification des projets de décomptes et du décompte final</w:t>
      </w:r>
    </w:p>
    <w:p w14:paraId="0C770402"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Par dérogation à l'article 16.2.3 du CCAG-MOE, si les délais de vérification fixés ne sont pas respectés, le maitre d'œuvre encourt une pénalité dont le montant, par jour calendaire de retard, est fixé à 1 /20000 en prix de base, hors TVA, du montant du décompte général. Le montant de la pénalité est arrondi à l'euro supérieur.</w:t>
      </w:r>
    </w:p>
    <w:p w14:paraId="4CE16D3C"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le maître d'œuvre ne précise pas la date à laquelle la demande de paiement (décompte mensuel) de l'entrepreneur lui a été remise (ou la date à laquelle il a reçu cette demande), il encourt une pénalité substitutive et forfaitaire fixée à 100 euros pour toute carence constatée.</w:t>
      </w:r>
    </w:p>
    <w:p w14:paraId="7F286C9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le maître d'œuvre ne précise pas la date à laquelle le projet de décompte final établi par l'entrepreneur lui a été remis (ou la date à laquelle il a reçu ce document), il encourt une pénalité substitutive et forfaitaire fixée à 500 euros.</w:t>
      </w:r>
    </w:p>
    <w:p w14:paraId="4CDAB5DF"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Si le maître d'œuvre n'a pas transmis au maître de l'ouvrage les projets de décompte mentionnés ci-avant dans les délais prescrits, le maître de l'ouvrage le met en demeure de le faire dans un délai qu'il fixe.</w:t>
      </w:r>
    </w:p>
    <w:p w14:paraId="7D7FFDC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 l'expiration de ce délai, le maître de l'ouvrage peut faire vérifier les projets de décompte aux frais du maître d'œuvre défaillant.</w:t>
      </w:r>
    </w:p>
    <w:p w14:paraId="3236DBD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Au surplus, si le retard ou la défaillance du maître d'œuvre entraîne le versement d'intérêt moratoires aux entreprises, il encourt une pénalité égale au montant des intérêts moratoires qui lui sont imputables.</w:t>
      </w:r>
      <w:bookmarkStart w:id="25" w:name="PSOUSTRAINTANT"/>
      <w:bookmarkEnd w:id="25"/>
    </w:p>
    <w:p w14:paraId="7D9C6AFE"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39 – Pénalités pour retard dans la remise des contrats de sous-traitance</w:t>
      </w:r>
    </w:p>
    <w:p w14:paraId="74C192B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titulaire est tenu de communiquer le contrat de sous-traitance et ses éventuels avenants à l'acheteur lorsque celui-ci en fait la demande. A défaut de l'avoir produit à l'échéance d'un délai de quinze jours courant à compter de la réception d'une mise en demeure de le faire par l'acheteur, le titulaire encourt une pénalité journalière de retard, telle que prévue à l'article 3.6.3 du CCAG-MOE.</w:t>
      </w:r>
      <w:bookmarkStart w:id="26" w:name="RESIL"/>
      <w:bookmarkEnd w:id="26"/>
    </w:p>
    <w:p w14:paraId="4125C3C1"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40 – Résiliation</w:t>
      </w:r>
    </w:p>
    <w:p w14:paraId="60D39E26"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Il est fait application des dispositions du CCAG-MOE sur la résiliation.</w:t>
      </w:r>
    </w:p>
    <w:p w14:paraId="31670C3F"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 xml:space="preserve">Article 40.1 – Cas de résiliations prévus par le Code de la commande publique </w:t>
      </w:r>
    </w:p>
    <w:p w14:paraId="594D8AB4"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Pour rappel, conformément au code de la commande publique, en complément des cas de résiliation prévus par le CCAG, l'acheteur peut résilier le marché :</w:t>
      </w:r>
    </w:p>
    <w:p w14:paraId="0ECEEF9D"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lastRenderedPageBreak/>
        <w:t>lorsque</w:t>
      </w:r>
      <w:proofErr w:type="gramEnd"/>
      <w:r>
        <w:rPr>
          <w:rFonts w:ascii="Verdana" w:hAnsi="Verdana" w:cs="Times New Roman"/>
          <w:sz w:val="20"/>
          <w:szCs w:val="24"/>
        </w:rPr>
        <w:t xml:space="preserve"> le titulaire est, au cours de l'exécution du marché, placé dans l'un des cas d'exclusion mentionné aux articles L. 2141-1 à L. 2141-11, conformément à l'article L2195-4 du code de la commande publique.</w:t>
      </w:r>
    </w:p>
    <w:p w14:paraId="33CB13CE"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lorsque</w:t>
      </w:r>
      <w:proofErr w:type="gramEnd"/>
      <w:r>
        <w:rPr>
          <w:rFonts w:ascii="Verdana" w:hAnsi="Verdana" w:cs="Times New Roman"/>
          <w:sz w:val="20"/>
          <w:szCs w:val="24"/>
        </w:rPr>
        <w:t xml:space="preserve"> celui-ci n'aurait pas dû être attribué à un opérateur économique en raison d'un manquement grave aux obligations prévues par le droit de l'Union européenne en matière de marchés qui a été reconnu par la Cour de justice de l'Union européenne, en vertu de l'article L2195-5 du code de la commande publique.</w:t>
      </w:r>
    </w:p>
    <w:p w14:paraId="10C3A167"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proofErr w:type="gramStart"/>
      <w:r>
        <w:rPr>
          <w:rFonts w:ascii="Verdana" w:hAnsi="Verdana" w:cs="Times New Roman"/>
          <w:sz w:val="20"/>
          <w:szCs w:val="24"/>
        </w:rPr>
        <w:t>lorsque</w:t>
      </w:r>
      <w:proofErr w:type="gramEnd"/>
      <w:r>
        <w:rPr>
          <w:rFonts w:ascii="Verdana" w:hAnsi="Verdana" w:cs="Times New Roman"/>
          <w:sz w:val="20"/>
          <w:szCs w:val="24"/>
        </w:rPr>
        <w:t xml:space="preserve"> l'exécution du contrat ne peut être poursuivie sans une modification contraire aux dispositions prévues par l'article L2194-1, en vertu de l'article L2195-6 du code de la commande publique.</w:t>
      </w:r>
    </w:p>
    <w:p w14:paraId="3C139E8C"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40.2 – Résiliation pour motif d'intérêt général</w:t>
      </w:r>
    </w:p>
    <w:p w14:paraId="57B62831"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xml:space="preserve">Le taux de l'indemnité versée </w:t>
      </w:r>
      <w:proofErr w:type="gramStart"/>
      <w:r>
        <w:rPr>
          <w:rFonts w:ascii="Verdana" w:hAnsi="Verdana" w:cs="Times New Roman"/>
          <w:sz w:val="20"/>
          <w:szCs w:val="24"/>
        </w:rPr>
        <w:t>au titulaire appliquée</w:t>
      </w:r>
      <w:proofErr w:type="gramEnd"/>
      <w:r>
        <w:rPr>
          <w:rFonts w:ascii="Verdana" w:hAnsi="Verdana" w:cs="Times New Roman"/>
          <w:sz w:val="20"/>
          <w:szCs w:val="24"/>
        </w:rPr>
        <w:t xml:space="preserve"> sur le montant hors taxe de la partie résiliée du marché est de 5 %.</w:t>
      </w:r>
      <w:bookmarkStart w:id="27" w:name="FRAIS"/>
      <w:bookmarkEnd w:id="27"/>
    </w:p>
    <w:p w14:paraId="0230B6A6"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41 – Exécution aux frais et risques du titulaire</w:t>
      </w:r>
    </w:p>
    <w:p w14:paraId="21DB9F6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Conformément à l'article 34 du CCAG-MOE, le pouvoir adjudicateur peut faire procéder par un tiers à l'exécution des prestations prévues par le marché, aux frais et risques du titulaire, soit lorsque le titulaire n'a pas déféré à une mise en demeure de se conformer aux dispositions du marché ou aux ordres de service, ou en cas d'inexécution par ce dernier d'une prestation qui, par sa nature, ne peut souffrir aucun retard, soit en cas de résiliation du marché prononcée aux torts du titulaire.</w:t>
      </w:r>
    </w:p>
    <w:p w14:paraId="017FD705"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42 – Attribution de compétence</w:t>
      </w:r>
    </w:p>
    <w:p w14:paraId="20688AB3"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Le Tribunal Administratif de Montpellier est compétent pour tout litige concernant la passation ou l'exécution de ce marché.</w:t>
      </w:r>
    </w:p>
    <w:p w14:paraId="659DAB20"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43 – Liste des annexes du CCP</w:t>
      </w:r>
    </w:p>
    <w:p w14:paraId="6CBAD582"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sz w:val="20"/>
          <w:szCs w:val="24"/>
        </w:rPr>
        <w:t>Annexe 1 - Glossaire de maîtrise d'oeuvre</w:t>
      </w:r>
    </w:p>
    <w:p w14:paraId="569DCD84" w14:textId="77777777" w:rsidR="003B3367" w:rsidRDefault="00EF7F64">
      <w:pPr>
        <w:autoSpaceDE w:val="0"/>
        <w:autoSpaceDN w:val="0"/>
        <w:adjustRightInd w:val="0"/>
        <w:spacing w:before="100" w:after="100" w:line="240" w:lineRule="auto"/>
        <w:rPr>
          <w:rFonts w:ascii="Verdana" w:hAnsi="Verdana" w:cs="Times New Roman"/>
          <w:b/>
          <w:sz w:val="24"/>
          <w:szCs w:val="24"/>
        </w:rPr>
      </w:pPr>
      <w:r>
        <w:rPr>
          <w:rFonts w:ascii="Verdana" w:hAnsi="Verdana" w:cs="Times New Roman"/>
          <w:b/>
          <w:sz w:val="24"/>
          <w:szCs w:val="24"/>
        </w:rPr>
        <w:t>Article 44 – Dérogations</w:t>
      </w:r>
    </w:p>
    <w:p w14:paraId="7EE2335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L'article 8 - Durée du marché déroge à l'article 15 du CCAG-MOE</w:t>
      </w:r>
    </w:p>
    <w:p w14:paraId="46D98500" w14:textId="77777777" w:rsidR="003B3367" w:rsidRDefault="00EF7F64">
      <w:pPr>
        <w:autoSpaceDE w:val="0"/>
        <w:autoSpaceDN w:val="0"/>
        <w:adjustRightInd w:val="0"/>
        <w:spacing w:after="0" w:line="240" w:lineRule="auto"/>
        <w:jc w:val="both"/>
        <w:rPr>
          <w:rFonts w:ascii="Verdana" w:hAnsi="Verdana" w:cs="Times New Roman"/>
          <w:sz w:val="20"/>
          <w:szCs w:val="24"/>
        </w:rPr>
      </w:pPr>
      <w:proofErr w:type="gramStart"/>
      <w:r>
        <w:rPr>
          <w:rFonts w:ascii="Verdana" w:hAnsi="Verdana" w:cs="Times New Roman"/>
          <w:sz w:val="20"/>
          <w:szCs w:val="24"/>
        </w:rPr>
        <w:t>.L'article</w:t>
      </w:r>
      <w:proofErr w:type="gramEnd"/>
      <w:r>
        <w:rPr>
          <w:rFonts w:ascii="Verdana" w:hAnsi="Verdana" w:cs="Times New Roman"/>
          <w:sz w:val="20"/>
          <w:szCs w:val="24"/>
        </w:rPr>
        <w:t xml:space="preserve"> 14 - Modalités de variation du prix déroge à l'article 10.1.1 et 10.1.2 du CCAG-MOE.</w:t>
      </w:r>
    </w:p>
    <w:p w14:paraId="21D0218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L'article 19.3 - Délais d'approbation des documents par le maître d'ouvrage déroge à l'article 20.5 et 21 du CCAG-MOE.</w:t>
      </w:r>
    </w:p>
    <w:p w14:paraId="48A3DBD0"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L'article 19.2 - Présentation des documents d'études et d'exécution déroge à l'article 20.4.2 du CCAG-MOE.</w:t>
      </w:r>
    </w:p>
    <w:p w14:paraId="5134A03D"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L'article 38.1 - Plafonnement des pénalités de retard déroge à l'article 16.2.2 du CCAG-MOE.</w:t>
      </w:r>
    </w:p>
    <w:p w14:paraId="6AF430A7"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L'article 38.2 - Exonération des pénalités déroge à l'article 16.2.1 du CCAG-MOE.</w:t>
      </w:r>
    </w:p>
    <w:p w14:paraId="34FB7779"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L'article 38.4 - Pénalités pour retard dans la délivrance des ordres de service déroge à l'article 16.2.3 du CCAG-MOE en ce qui concerne le calcul du montant des pénalités de retard.</w:t>
      </w:r>
    </w:p>
    <w:p w14:paraId="2E2319BA" w14:textId="77777777" w:rsidR="003B3367"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L'article 38.5 - Pénalités en cas de retard dans la vérification déroge à l'article 16.2.3 du CCAG-MOE en ce qui concerne le calcul du montant des pénalités de retard.</w:t>
      </w:r>
    </w:p>
    <w:p w14:paraId="139EB3F6" w14:textId="77777777" w:rsidR="003B3367" w:rsidRDefault="00EF7F64">
      <w:pPr>
        <w:autoSpaceDE w:val="0"/>
        <w:autoSpaceDN w:val="0"/>
        <w:adjustRightInd w:val="0"/>
        <w:spacing w:after="0" w:line="240" w:lineRule="auto"/>
        <w:rPr>
          <w:rFonts w:ascii="Verdana" w:hAnsi="Verdana" w:cs="Times New Roman"/>
          <w:sz w:val="20"/>
          <w:szCs w:val="24"/>
        </w:rPr>
      </w:pPr>
      <w:r>
        <w:rPr>
          <w:rFonts w:ascii="Verdana" w:hAnsi="Verdana" w:cs="Times New Roman"/>
          <w:sz w:val="20"/>
          <w:szCs w:val="24"/>
        </w:rPr>
        <w:br w:type="page"/>
      </w:r>
    </w:p>
    <w:p w14:paraId="4A6AB178" w14:textId="77777777" w:rsidR="003B3367" w:rsidRDefault="003B3367">
      <w:pPr>
        <w:autoSpaceDE w:val="0"/>
        <w:autoSpaceDN w:val="0"/>
        <w:adjustRightInd w:val="0"/>
        <w:spacing w:after="0" w:line="240" w:lineRule="auto"/>
        <w:rPr>
          <w:rFonts w:ascii="Verdana" w:hAnsi="Verdana" w:cs="Times New Roman"/>
          <w:sz w:val="20"/>
          <w:szCs w:val="24"/>
        </w:rPr>
      </w:pPr>
    </w:p>
    <w:p w14:paraId="7A271EE8" w14:textId="77777777" w:rsidR="003B3367" w:rsidRDefault="00EF7F64">
      <w:pPr>
        <w:autoSpaceDE w:val="0"/>
        <w:autoSpaceDN w:val="0"/>
        <w:adjustRightInd w:val="0"/>
        <w:spacing w:after="0" w:line="240" w:lineRule="auto"/>
        <w:jc w:val="center"/>
        <w:rPr>
          <w:rFonts w:ascii="Verdana" w:hAnsi="Verdana" w:cs="Times New Roman"/>
          <w:b/>
          <w:sz w:val="28"/>
          <w:szCs w:val="24"/>
        </w:rPr>
      </w:pPr>
      <w:r>
        <w:rPr>
          <w:rFonts w:ascii="Verdana" w:hAnsi="Verdana" w:cs="Times New Roman"/>
          <w:b/>
          <w:sz w:val="28"/>
          <w:szCs w:val="24"/>
        </w:rPr>
        <w:t>ANNEXE 1 - Glossaire de maîtrise d'oeuvre</w:t>
      </w:r>
    </w:p>
    <w:p w14:paraId="49D9B413"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Contrôleur technique :</w:t>
      </w:r>
      <w:r>
        <w:rPr>
          <w:rFonts w:ascii="Verdana" w:hAnsi="Verdana" w:cs="Times New Roman"/>
          <w:sz w:val="20"/>
          <w:szCs w:val="24"/>
        </w:rPr>
        <w:t xml:space="preserve"> Intervenant à la construction chargé de vérifier la solidité de l'ouvrage en phase conception et en phase réalisation.</w:t>
      </w:r>
    </w:p>
    <w:p w14:paraId="3FDE183E"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Coordonnateur SPS :</w:t>
      </w:r>
      <w:r>
        <w:rPr>
          <w:rFonts w:ascii="Verdana" w:hAnsi="Verdana" w:cs="Times New Roman"/>
          <w:sz w:val="20"/>
          <w:szCs w:val="24"/>
        </w:rPr>
        <w:t xml:space="preserve"> Spécialiste chargé de prévenir les accidents sur les chantiers par l'élaboration du Plan Général de Coordination (PGC) en phase conception et le Registre Journal de Coordination en phase réalisation de l'ouvrage.</w:t>
      </w:r>
    </w:p>
    <w:p w14:paraId="4654C61C"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Coordonnateur OPC :</w:t>
      </w:r>
      <w:r>
        <w:rPr>
          <w:rFonts w:ascii="Verdana" w:hAnsi="Verdana" w:cs="Times New Roman"/>
          <w:sz w:val="20"/>
          <w:szCs w:val="24"/>
        </w:rPr>
        <w:t xml:space="preserve"> Intervenant à la construction chargé de l'ordonnancement, la coordination et le pilotage du chantier lorsque cet élément de mission n'est pas confié à la maîtrise d'oeuvre.</w:t>
      </w:r>
    </w:p>
    <w:p w14:paraId="3D40F3DE"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Coordonnateur SSI :</w:t>
      </w:r>
      <w:r>
        <w:rPr>
          <w:rFonts w:ascii="Verdana" w:hAnsi="Verdana" w:cs="Times New Roman"/>
          <w:sz w:val="20"/>
          <w:szCs w:val="24"/>
        </w:rPr>
        <w:t xml:space="preserve"> Intervenant à la construction chargé de l'élaboration du système de sécurité incendie en phase conception et du dossier d'identité SSI en phase réalisation de l'ouvrage, lorsque cet élément de mission n'est pas confié à la maîtrise d'oeuvre.</w:t>
      </w:r>
    </w:p>
    <w:p w14:paraId="7FD8615D"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Eléments de mission :</w:t>
      </w:r>
      <w:r>
        <w:rPr>
          <w:rFonts w:ascii="Verdana" w:hAnsi="Verdana" w:cs="Times New Roman"/>
          <w:sz w:val="20"/>
          <w:szCs w:val="24"/>
        </w:rPr>
        <w:t xml:space="preserve"> Terme employé par le livre IV du code de la commande publique pour désigner les différentes parties composant la mission de maîtrise d'œuvre. Le contenu détaillé de chaque élément de mission est défini par les articles R2431-8 à R2431-37 du même </w:t>
      </w:r>
      <w:proofErr w:type="gramStart"/>
      <w:r>
        <w:rPr>
          <w:rFonts w:ascii="Verdana" w:hAnsi="Verdana" w:cs="Times New Roman"/>
          <w:sz w:val="20"/>
          <w:szCs w:val="24"/>
        </w:rPr>
        <w:t>code .</w:t>
      </w:r>
      <w:proofErr w:type="gramEnd"/>
    </w:p>
    <w:p w14:paraId="2B1C2532"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Enveloppe financière prévisionnelle :</w:t>
      </w:r>
      <w:r>
        <w:rPr>
          <w:rFonts w:ascii="Verdana" w:hAnsi="Verdana" w:cs="Times New Roman"/>
          <w:sz w:val="20"/>
          <w:szCs w:val="24"/>
        </w:rPr>
        <w:t xml:space="preserve"> Enveloppe financière affectée </w:t>
      </w:r>
      <w:proofErr w:type="gramStart"/>
      <w:r>
        <w:rPr>
          <w:rFonts w:ascii="Verdana" w:hAnsi="Verdana" w:cs="Times New Roman"/>
          <w:sz w:val="20"/>
          <w:szCs w:val="24"/>
        </w:rPr>
        <w:t>aux travaux définie</w:t>
      </w:r>
      <w:proofErr w:type="gramEnd"/>
      <w:r>
        <w:rPr>
          <w:rFonts w:ascii="Verdana" w:hAnsi="Verdana" w:cs="Times New Roman"/>
          <w:sz w:val="20"/>
          <w:szCs w:val="24"/>
        </w:rPr>
        <w:t xml:space="preserve"> par le maître d'ouvrage en même temps que le programme. L'estimation financière comprend l'ensemble des travaux nécessaire à la réalisation du programme.</w:t>
      </w:r>
    </w:p>
    <w:p w14:paraId="71CBC51B"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Coût prévisionnel des travaux :</w:t>
      </w:r>
      <w:r>
        <w:rPr>
          <w:rFonts w:ascii="Verdana" w:hAnsi="Verdana" w:cs="Times New Roman"/>
          <w:sz w:val="20"/>
          <w:szCs w:val="24"/>
        </w:rPr>
        <w:t xml:space="preserve"> Somme des montants de travaux sur lesquels le maître d'œuvre assume sa mission et qui sont nécessaires pour mener à son terme la réalisation de </w:t>
      </w:r>
      <w:proofErr w:type="gramStart"/>
      <w:r>
        <w:rPr>
          <w:rFonts w:ascii="Verdana" w:hAnsi="Verdana" w:cs="Times New Roman"/>
          <w:sz w:val="20"/>
          <w:szCs w:val="24"/>
        </w:rPr>
        <w:t>l'ouvrage;</w:t>
      </w:r>
      <w:proofErr w:type="gramEnd"/>
      <w:r>
        <w:rPr>
          <w:rFonts w:ascii="Verdana" w:hAnsi="Verdana" w:cs="Times New Roman"/>
          <w:sz w:val="20"/>
          <w:szCs w:val="24"/>
        </w:rPr>
        <w:t xml:space="preserve"> somme fondée soit sur l'estimation prévisionnelle provisoire des travaux établie par le maître d'oeuvre, lors des études d'</w:t>
      </w:r>
      <w:proofErr w:type="spellStart"/>
      <w:r>
        <w:rPr>
          <w:rFonts w:ascii="Verdana" w:hAnsi="Verdana" w:cs="Times New Roman"/>
          <w:sz w:val="20"/>
          <w:szCs w:val="24"/>
        </w:rPr>
        <w:t>avants-projets</w:t>
      </w:r>
      <w:proofErr w:type="spellEnd"/>
      <w:r>
        <w:rPr>
          <w:rFonts w:ascii="Verdana" w:hAnsi="Verdana" w:cs="Times New Roman"/>
          <w:sz w:val="20"/>
          <w:szCs w:val="24"/>
        </w:rPr>
        <w:t xml:space="preserve">, soit sur l'estimation prévisionnelle définitive </w:t>
      </w:r>
      <w:proofErr w:type="gramStart"/>
      <w:r>
        <w:rPr>
          <w:rFonts w:ascii="Verdana" w:hAnsi="Verdana" w:cs="Times New Roman"/>
          <w:sz w:val="20"/>
          <w:szCs w:val="24"/>
        </w:rPr>
        <w:t>des travaux établie</w:t>
      </w:r>
      <w:proofErr w:type="gramEnd"/>
      <w:r>
        <w:rPr>
          <w:rFonts w:ascii="Verdana" w:hAnsi="Verdana" w:cs="Times New Roman"/>
          <w:sz w:val="20"/>
          <w:szCs w:val="24"/>
        </w:rPr>
        <w:t xml:space="preserve"> par le maître d'oeuvre, lors des études d'</w:t>
      </w:r>
      <w:proofErr w:type="spellStart"/>
      <w:r>
        <w:rPr>
          <w:rFonts w:ascii="Verdana" w:hAnsi="Verdana" w:cs="Times New Roman"/>
          <w:sz w:val="20"/>
          <w:szCs w:val="24"/>
        </w:rPr>
        <w:t>avants-projets</w:t>
      </w:r>
      <w:proofErr w:type="spellEnd"/>
      <w:r>
        <w:rPr>
          <w:rFonts w:ascii="Verdana" w:hAnsi="Verdana" w:cs="Times New Roman"/>
          <w:sz w:val="20"/>
          <w:szCs w:val="24"/>
        </w:rPr>
        <w:t xml:space="preserve"> définitifs.</w:t>
      </w:r>
    </w:p>
    <w:p w14:paraId="315583C3"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Engagements de la maîtrise d'oeuvre :</w:t>
      </w:r>
      <w:r>
        <w:rPr>
          <w:rFonts w:ascii="Verdana" w:hAnsi="Verdana" w:cs="Times New Roman"/>
          <w:sz w:val="20"/>
          <w:szCs w:val="24"/>
        </w:rPr>
        <w:t xml:space="preserve"> Un premier engagement entre coût prévisionnel définitif des travaux et offres de prix résultant de la consultation des entreprises de travaux assortie d'un seuil de tolérance. Un second engagement, sanctionnée par une pénalité, entre coût résultant des marchés de travaux passés et montant total des travaux réalisés assortie d'un seuil de tolérance.</w:t>
      </w:r>
    </w:p>
    <w:p w14:paraId="38AC997F"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Coût de référence des travaux à l'issue de la consultation :</w:t>
      </w:r>
      <w:r>
        <w:rPr>
          <w:rFonts w:ascii="Verdana" w:hAnsi="Verdana" w:cs="Times New Roman"/>
          <w:sz w:val="20"/>
          <w:szCs w:val="24"/>
        </w:rPr>
        <w:t xml:space="preserve"> Offres de prix résultant de la consultation des entreprises de travaux et qui n'ont pas encore donnés lieu à notification.</w:t>
      </w:r>
    </w:p>
    <w:p w14:paraId="508965D1"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Coût de réalisation des travaux :</w:t>
      </w:r>
      <w:r>
        <w:rPr>
          <w:rFonts w:ascii="Verdana" w:hAnsi="Verdana" w:cs="Times New Roman"/>
          <w:sz w:val="20"/>
          <w:szCs w:val="24"/>
        </w:rPr>
        <w:t xml:space="preserve"> Somme des montants initiaux des marchés de travaux ayant donnés lieu à notification.</w:t>
      </w:r>
    </w:p>
    <w:p w14:paraId="4213E41C" w14:textId="77777777" w:rsidR="003B3367" w:rsidRDefault="00EF7F64" w:rsidP="0078548E">
      <w:pPr>
        <w:numPr>
          <w:ilvl w:val="0"/>
          <w:numId w:val="1"/>
        </w:numPr>
        <w:autoSpaceDE w:val="0"/>
        <w:autoSpaceDN w:val="0"/>
        <w:adjustRightInd w:val="0"/>
        <w:spacing w:after="0" w:line="240" w:lineRule="auto"/>
        <w:ind w:left="580" w:hanging="250"/>
        <w:rPr>
          <w:rFonts w:ascii="Verdana" w:hAnsi="Verdana" w:cs="Times New Roman"/>
          <w:sz w:val="20"/>
          <w:szCs w:val="24"/>
        </w:rPr>
      </w:pPr>
      <w:r>
        <w:rPr>
          <w:rFonts w:ascii="Verdana" w:hAnsi="Verdana" w:cs="Times New Roman"/>
          <w:b/>
          <w:sz w:val="20"/>
          <w:szCs w:val="24"/>
        </w:rPr>
        <w:t>Coût de référence des travaux à la réception de l'ouvrage :</w:t>
      </w:r>
      <w:r>
        <w:rPr>
          <w:rFonts w:ascii="Verdana" w:hAnsi="Verdana" w:cs="Times New Roman"/>
          <w:sz w:val="20"/>
          <w:szCs w:val="24"/>
        </w:rPr>
        <w:t xml:space="preserve"> Montant final total des travaux qui ont été nécessaires à la construction de l'ouvrage à l'exclusion des coûts supplémentaires non imputables à la maîtrise d'œuvre.</w:t>
      </w:r>
    </w:p>
    <w:p w14:paraId="1022D034" w14:textId="77777777" w:rsidR="00534A6B" w:rsidRDefault="00EF7F64">
      <w:pPr>
        <w:autoSpaceDE w:val="0"/>
        <w:autoSpaceDN w:val="0"/>
        <w:adjustRightInd w:val="0"/>
        <w:spacing w:after="0" w:line="240" w:lineRule="auto"/>
        <w:jc w:val="both"/>
        <w:rPr>
          <w:rFonts w:ascii="Verdana" w:hAnsi="Verdana" w:cs="Times New Roman"/>
          <w:sz w:val="20"/>
          <w:szCs w:val="24"/>
        </w:rPr>
      </w:pPr>
      <w:r>
        <w:rPr>
          <w:rFonts w:ascii="Verdana" w:hAnsi="Verdana" w:cs="Times New Roman"/>
          <w:sz w:val="20"/>
          <w:szCs w:val="24"/>
        </w:rPr>
        <w:t> </w:t>
      </w:r>
    </w:p>
    <w:sectPr w:rsidR="00534A6B" w:rsidSect="006566F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pgBorders w:display="firstPage" w:offsetFrom="page">
        <w:top w:val="doubleWave" w:sz="6" w:space="24" w:color="00B050"/>
        <w:left w:val="doubleWave" w:sz="6" w:space="24" w:color="00B050"/>
        <w:bottom w:val="doubleWave" w:sz="6" w:space="24" w:color="00B050"/>
        <w:right w:val="doubleWave" w:sz="6" w:space="24" w:color="00B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9ACE0" w14:textId="77777777" w:rsidR="00EF7F64" w:rsidRDefault="00EF7F64"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separator/>
      </w:r>
    </w:p>
  </w:endnote>
  <w:endnote w:type="continuationSeparator" w:id="0">
    <w:p w14:paraId="2763D57C" w14:textId="77777777" w:rsidR="00EF7F64" w:rsidRDefault="00EF7F64"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C7B2E" w14:textId="77777777" w:rsidR="00EE4616" w:rsidRDefault="00EF7F64">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76494" w14:textId="77777777" w:rsidR="00292E0A" w:rsidRDefault="00EF7F64">
    <w:pPr>
      <w:pBdr>
        <w:top w:val="single" w:sz="6" w:space="10" w:color="5B9BD5"/>
      </w:pBdr>
      <w:tabs>
        <w:tab w:val="center" w:pos="4536"/>
        <w:tab w:val="right" w:pos="9072"/>
      </w:tabs>
      <w:spacing w:before="240" w:after="0" w:line="240" w:lineRule="auto"/>
      <w:jc w:val="center"/>
      <w:rPr>
        <w:color w:val="5B9BD5"/>
        <w:sz w:val="20"/>
        <w:szCs w:val="20"/>
        <w:lang w:eastAsia="fr-FR"/>
      </w:rPr>
    </w:pPr>
    <w:r>
      <w:rPr>
        <w:rFonts w:ascii="Times New Roman" w:hAnsi="Times New Roman" w:cs="Times New Roman"/>
        <w:sz w:val="24"/>
        <w:szCs w:val="24"/>
      </w:rPr>
      <w:t xml:space="preserve"> </w:t>
    </w:r>
    <w:r w:rsidR="00292E0A" w:rsidRPr="00292E0A">
      <w:rPr>
        <w:rFonts w:ascii="Verdana" w:hAnsi="Verdana" w:cs="Times New Roman"/>
        <w:b/>
        <w:noProof/>
        <w:sz w:val="24"/>
        <w:szCs w:val="24"/>
        <w:lang w:eastAsia="fr-FR"/>
      </w:rPr>
      <w:t>MAPA N°26MO020</w:t>
    </w:r>
  </w:p>
  <w:p w14:paraId="1B8A6858" w14:textId="77777777" w:rsidR="00292E0A" w:rsidRDefault="00EF7F64">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79F8" w14:textId="77777777" w:rsidR="00EE4616" w:rsidRDefault="00EF7F64">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E73AE" w14:textId="77777777" w:rsidR="00EF7F64" w:rsidRDefault="00EF7F64"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separator/>
      </w:r>
    </w:p>
  </w:footnote>
  <w:footnote w:type="continuationSeparator" w:id="0">
    <w:p w14:paraId="4F55FD04" w14:textId="77777777" w:rsidR="00EF7F64" w:rsidRDefault="00EF7F64" w:rsidP="00292E0A">
      <w:pPr>
        <w:spacing w:after="0" w:line="240" w:lineRule="auto"/>
        <w:rPr>
          <w:sz w:val="20"/>
          <w:szCs w:val="20"/>
          <w:lang w:eastAsia="fr-FR"/>
        </w:rPr>
      </w:pPr>
      <w:r>
        <w:rPr>
          <w:rFonts w:ascii="Times New Roman" w:hAnsi="Times New Roman" w:cs="Times New Roman"/>
          <w:sz w:val="24"/>
          <w:szCs w:val="24"/>
        </w:rPr>
        <w:t xml:space="preserve"> </w:t>
      </w:r>
      <w:r>
        <w:rPr>
          <w:sz w:val="20"/>
          <w:szCs w:val="20"/>
          <w:lang w:eastAsia="fr-FR"/>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9AE2" w14:textId="77777777" w:rsidR="00EE4616" w:rsidRDefault="00EF7F64">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30D2" w14:textId="77777777" w:rsidR="00EE4616" w:rsidRDefault="00EF7F64">
    <w:pPr>
      <w:tabs>
        <w:tab w:val="center" w:pos="4536"/>
        <w:tab w:val="right" w:pos="9072"/>
      </w:tabs>
      <w:spacing w:after="0" w:line="240" w:lineRule="auto"/>
      <w:jc w:val="right"/>
      <w:rPr>
        <w:sz w:val="20"/>
        <w:szCs w:val="20"/>
        <w:lang w:eastAsia="fr-FR"/>
      </w:rPr>
    </w:pPr>
    <w:r>
      <w:rPr>
        <w:rFonts w:ascii="Times New Roman" w:hAnsi="Times New Roman" w:cs="Times New Roman"/>
        <w:sz w:val="24"/>
        <w:szCs w:val="24"/>
      </w:rPr>
      <w:t xml:space="preserve"> </w:t>
    </w:r>
    <w:r w:rsidR="00EE4616">
      <w:rPr>
        <w:sz w:val="20"/>
        <w:szCs w:val="20"/>
        <w:lang w:eastAsia="fr-FR"/>
      </w:rPr>
      <w:fldChar w:fldCharType="begin"/>
    </w:r>
    <w:r w:rsidR="00EE4616">
      <w:rPr>
        <w:sz w:val="20"/>
        <w:szCs w:val="20"/>
        <w:lang w:eastAsia="fr-FR"/>
      </w:rPr>
      <w:instrText>PAGE   \* MERGEFORMAT</w:instrText>
    </w:r>
    <w:r w:rsidR="00EE4616">
      <w:rPr>
        <w:sz w:val="20"/>
        <w:szCs w:val="20"/>
        <w:lang w:eastAsia="fr-FR"/>
      </w:rPr>
      <w:fldChar w:fldCharType="separate"/>
    </w:r>
    <w:r w:rsidR="00EE4616">
      <w:rPr>
        <w:noProof/>
        <w:sz w:val="20"/>
        <w:szCs w:val="20"/>
        <w:lang w:eastAsia="fr-FR"/>
      </w:rPr>
      <w:t>1</w:t>
    </w:r>
    <w:r w:rsidR="00EE4616">
      <w:rPr>
        <w:sz w:val="20"/>
        <w:szCs w:val="20"/>
        <w:lang w:eastAsia="fr-FR"/>
      </w:rPr>
      <w:fldChar w:fldCharType="end"/>
    </w:r>
  </w:p>
  <w:p w14:paraId="71B2BE87" w14:textId="77777777" w:rsidR="00EE4616" w:rsidRDefault="00EE4616">
    <w:pPr>
      <w:tabs>
        <w:tab w:val="center" w:pos="4536"/>
        <w:tab w:val="right" w:pos="9072"/>
      </w:tabs>
      <w:spacing w:after="0" w:line="240" w:lineRule="auto"/>
      <w:rPr>
        <w:sz w:val="20"/>
        <w:szCs w:val="20"/>
        <w:lang w:eastAsia="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F39FD" w14:textId="77777777" w:rsidR="00EE4616" w:rsidRDefault="00EF7F64">
    <w:pPr>
      <w:tabs>
        <w:tab w:val="center" w:pos="4536"/>
        <w:tab w:val="right" w:pos="9072"/>
      </w:tabs>
      <w:spacing w:after="0" w:line="240" w:lineRule="auto"/>
      <w:rPr>
        <w:sz w:val="20"/>
        <w:szCs w:val="20"/>
        <w:lang w:eastAsia="fr-FR"/>
      </w:rPr>
    </w:pPr>
    <w:r>
      <w:rPr>
        <w:rFonts w:ascii="Times New Roman" w:hAnsi="Times New Roman" w:cs="Times New Roman"/>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7382310"/>
    <w:lvl w:ilvl="0">
      <w:numFmt w:val="bullet"/>
      <w:lvlText w:val="*"/>
      <w:lvlJc w:val="left"/>
    </w:lvl>
  </w:abstractNum>
  <w:num w:numId="1" w16cid:durableId="1343774214">
    <w:abstractNumId w:val="0"/>
    <w:lvlOverride w:ilvl="0">
      <w:lvl w:ilvl="0">
        <w:numFmt w:val="bullet"/>
        <w:lvlText w:val=""/>
        <w:legacy w:legacy="1" w:legacySpace="0" w:legacyIndent="0"/>
        <w:lvlJc w:val="left"/>
        <w:rPr>
          <w:rFonts w:ascii="Symbol" w:hAnsi="Symbol" w:hint="default"/>
        </w:rPr>
      </w:lvl>
    </w:lvlOverride>
  </w:num>
  <w:num w:numId="2" w16cid:durableId="911282177">
    <w:abstractNumId w:val="0"/>
    <w:lvlOverride w:ilvl="0">
      <w:lvl w:ilvl="0">
        <w:numFmt w:val="bullet"/>
        <w:lvlText w:val=""/>
        <w:legacy w:legacy="1" w:legacySpace="0" w:legacyIndent="0"/>
        <w:lvlJc w:val="left"/>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19C"/>
    <w:rsid w:val="00047F1E"/>
    <w:rsid w:val="000666C9"/>
    <w:rsid w:val="00226858"/>
    <w:rsid w:val="0028119C"/>
    <w:rsid w:val="00292E0A"/>
    <w:rsid w:val="00297607"/>
    <w:rsid w:val="00361117"/>
    <w:rsid w:val="00367BC7"/>
    <w:rsid w:val="00390DBC"/>
    <w:rsid w:val="003A32DB"/>
    <w:rsid w:val="003B3367"/>
    <w:rsid w:val="003C28B8"/>
    <w:rsid w:val="003E5904"/>
    <w:rsid w:val="004D1FE5"/>
    <w:rsid w:val="00534A6B"/>
    <w:rsid w:val="005D7400"/>
    <w:rsid w:val="006566FC"/>
    <w:rsid w:val="006B3055"/>
    <w:rsid w:val="0078548E"/>
    <w:rsid w:val="008143E4"/>
    <w:rsid w:val="008B193B"/>
    <w:rsid w:val="009209B3"/>
    <w:rsid w:val="00A5122E"/>
    <w:rsid w:val="00BF0990"/>
    <w:rsid w:val="00CF28BE"/>
    <w:rsid w:val="00D34AB2"/>
    <w:rsid w:val="00E12965"/>
    <w:rsid w:val="00E43456"/>
    <w:rsid w:val="00E65252"/>
    <w:rsid w:val="00EB5BCD"/>
    <w:rsid w:val="00EE4616"/>
    <w:rsid w:val="00EF7F64"/>
    <w:rsid w:val="00FA7F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C2415E"/>
  <w14:defaultImageDpi w14:val="0"/>
  <w15:docId w15:val="{B46EDA83-61F9-4538-9D71-92D551AC2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B0F27-300B-4CC7-9E01-18729D12C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8770</Words>
  <Characters>48241</Characters>
  <Application>Microsoft Office Word</Application>
  <DocSecurity>0</DocSecurity>
  <Lines>402</Lines>
  <Paragraphs>113</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56898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Camos</dc:creator>
  <cp:keywords/>
  <dc:description>Created by the HTML-to-RTF Pro DLL .Net 5.1.10.31</dc:description>
  <cp:lastModifiedBy>Christophe Vidal</cp:lastModifiedBy>
  <cp:revision>3</cp:revision>
  <dcterms:created xsi:type="dcterms:W3CDTF">2026-06-09T13:50:00Z</dcterms:created>
  <dcterms:modified xsi:type="dcterms:W3CDTF">2026-06-12T07:59:00Z</dcterms:modified>
</cp:coreProperties>
</file>