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E18F4" w14:textId="77777777" w:rsidR="0028119C" w:rsidRDefault="00000000" w:rsidP="0028119C">
      <w:pPr>
        <w:spacing w:after="200" w:line="276" w:lineRule="auto"/>
        <w:rPr>
          <w:rFonts w:ascii="Verdana" w:hAnsi="Verdana" w:cs="Times New Roman"/>
          <w:sz w:val="20"/>
        </w:rPr>
      </w:pPr>
      <w:r>
        <w:rPr>
          <w:rFonts w:ascii="Times New Roman" w:hAnsi="Times New Roman" w:cs="Times New Roman"/>
          <w:sz w:val="24"/>
          <w:szCs w:val="24"/>
        </w:rPr>
        <w:t xml:space="preserve"> </w:t>
      </w:r>
    </w:p>
    <w:p w14:paraId="28600D34" w14:textId="77777777" w:rsidR="0028119C" w:rsidRPr="00047F1E" w:rsidRDefault="0028119C" w:rsidP="0028119C">
      <w:pPr>
        <w:spacing w:after="0" w:line="276" w:lineRule="auto"/>
        <w:jc w:val="center"/>
        <w:rPr>
          <w:rFonts w:ascii="Verdana" w:hAnsi="Verdana" w:cs="Times New Roman"/>
          <w:b/>
          <w:sz w:val="32"/>
          <w:szCs w:val="32"/>
        </w:rPr>
      </w:pPr>
      <w:r>
        <w:rPr>
          <w:rFonts w:ascii="Verdana" w:hAnsi="Verdana" w:cs="Times New Roman"/>
          <w:b/>
          <w:sz w:val="32"/>
          <w:szCs w:val="32"/>
        </w:rPr>
        <w:t>Mairie de Saint-Cyprien</w:t>
      </w:r>
    </w:p>
    <w:p w14:paraId="07E73F16" w14:textId="77777777" w:rsidR="0028119C" w:rsidRPr="00047F1E" w:rsidRDefault="0028119C" w:rsidP="0028119C">
      <w:pPr>
        <w:spacing w:after="0" w:line="276" w:lineRule="auto"/>
        <w:jc w:val="center"/>
        <w:rPr>
          <w:rFonts w:ascii="Verdana" w:hAnsi="Verdana" w:cs="Times New Roman"/>
          <w:b/>
        </w:rPr>
      </w:pPr>
      <w:r>
        <w:rPr>
          <w:rFonts w:ascii="Verdana" w:hAnsi="Verdana" w:cs="Times New Roman"/>
          <w:b/>
        </w:rPr>
        <w:t>Place Desnoyer</w:t>
      </w:r>
    </w:p>
    <w:p w14:paraId="4D6BF580" w14:textId="77777777" w:rsidR="0028119C" w:rsidRPr="00047F1E" w:rsidRDefault="0028119C" w:rsidP="0028119C">
      <w:pPr>
        <w:spacing w:after="0" w:line="276" w:lineRule="auto"/>
        <w:jc w:val="center"/>
        <w:rPr>
          <w:rFonts w:ascii="Verdana" w:hAnsi="Verdana" w:cs="Times New Roman"/>
          <w:b/>
        </w:rPr>
      </w:pPr>
      <w:r>
        <w:rPr>
          <w:rFonts w:ascii="Verdana" w:hAnsi="Verdana" w:cs="Times New Roman"/>
          <w:b/>
        </w:rPr>
        <w:t>66750</w:t>
      </w:r>
      <w:r w:rsidRPr="00047F1E">
        <w:rPr>
          <w:rFonts w:ascii="Verdana" w:hAnsi="Verdana" w:cs="Times New Roman"/>
          <w:b/>
        </w:rPr>
        <w:t xml:space="preserve"> </w:t>
      </w:r>
      <w:r>
        <w:rPr>
          <w:rFonts w:ascii="Verdana" w:hAnsi="Verdana" w:cs="Times New Roman"/>
          <w:b/>
        </w:rPr>
        <w:t>Saint-Cyprien</w:t>
      </w:r>
    </w:p>
    <w:p w14:paraId="41B6066B" w14:textId="77777777" w:rsidR="0028119C" w:rsidRDefault="0028119C" w:rsidP="0028119C">
      <w:pPr>
        <w:spacing w:after="0" w:line="276" w:lineRule="auto"/>
        <w:jc w:val="center"/>
        <w:rPr>
          <w:rFonts w:ascii="Verdana" w:hAnsi="Verdana" w:cs="Times New Roman"/>
          <w:sz w:val="20"/>
        </w:rPr>
      </w:pPr>
      <w:r w:rsidRPr="00047F1E">
        <w:rPr>
          <w:rFonts w:ascii="Verdana" w:hAnsi="Verdana" w:cs="Times New Roman"/>
          <w:b/>
        </w:rPr>
        <w:t xml:space="preserve">Tel : </w:t>
      </w:r>
      <w:r>
        <w:rPr>
          <w:rFonts w:ascii="Verdana" w:hAnsi="Verdana" w:cs="Times New Roman"/>
          <w:b/>
        </w:rPr>
        <w:t>0468376800</w:t>
      </w:r>
    </w:p>
    <w:p w14:paraId="7F210551" w14:textId="77777777" w:rsidR="0028119C" w:rsidRDefault="0028119C" w:rsidP="0028119C">
      <w:pPr>
        <w:spacing w:after="0" w:line="276" w:lineRule="auto"/>
        <w:jc w:val="center"/>
        <w:rPr>
          <w:rFonts w:ascii="Verdana" w:hAnsi="Verdana" w:cs="Times New Roman"/>
          <w:sz w:val="20"/>
        </w:rPr>
      </w:pPr>
    </w:p>
    <w:p w14:paraId="30D5FB73" w14:textId="0158B295" w:rsidR="0028119C" w:rsidRDefault="00733EA6" w:rsidP="0028119C">
      <w:pPr>
        <w:spacing w:after="0" w:line="276" w:lineRule="auto"/>
        <w:jc w:val="center"/>
        <w:rPr>
          <w:rFonts w:ascii="Verdana" w:hAnsi="Verdana" w:cs="Times New Roman"/>
          <w:sz w:val="20"/>
        </w:rPr>
      </w:pPr>
      <w:r>
        <w:rPr>
          <w:noProof/>
        </w:rPr>
        <mc:AlternateContent>
          <mc:Choice Requires="wps">
            <w:drawing>
              <wp:anchor distT="0" distB="0" distL="114300" distR="114300" simplePos="0" relativeHeight="251659264" behindDoc="0" locked="0" layoutInCell="1" allowOverlap="1" wp14:anchorId="52446DB1" wp14:editId="1374C28F">
                <wp:simplePos x="0" y="0"/>
                <wp:positionH relativeFrom="column">
                  <wp:posOffset>871855</wp:posOffset>
                </wp:positionH>
                <wp:positionV relativeFrom="paragraph">
                  <wp:posOffset>5715</wp:posOffset>
                </wp:positionV>
                <wp:extent cx="3977640" cy="1209675"/>
                <wp:effectExtent l="0" t="0" r="3810" b="9525"/>
                <wp:wrapNone/>
                <wp:docPr id="2" name="Organigramme : Alternativ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7640" cy="1209675"/>
                        </a:xfrm>
                        <a:prstGeom prst="flowChartAlternateProcess">
                          <a:avLst/>
                        </a:prstGeom>
                        <a:solidFill>
                          <a:srgbClr val="FFFFFF"/>
                        </a:solidFill>
                        <a:ln w="9525">
                          <a:solidFill>
                            <a:srgbClr val="000000"/>
                          </a:solidFill>
                          <a:miter lim="800000"/>
                          <a:headEnd/>
                          <a:tailEnd/>
                        </a:ln>
                      </wps:spPr>
                      <wps:txbx>
                        <w:txbxContent>
                          <w:p w14:paraId="2F252821" w14:textId="18540DBE" w:rsidR="005D7400" w:rsidRPr="00BF0990" w:rsidRDefault="00000000" w:rsidP="0028119C">
                            <w:pPr>
                              <w:spacing w:after="0" w:line="276" w:lineRule="auto"/>
                              <w:jc w:val="center"/>
                              <w:rPr>
                                <w:rFonts w:ascii="Verdana" w:hAnsi="Verdana" w:cs="Times New Roman"/>
                                <w:b/>
                                <w:color w:val="000000"/>
                                <w:sz w:val="28"/>
                                <w:szCs w:val="28"/>
                              </w:rPr>
                            </w:pPr>
                            <w:r>
                              <w:rPr>
                                <w:rFonts w:ascii="Times New Roman" w:hAnsi="Times New Roman" w:cs="Times New Roman"/>
                                <w:sz w:val="24"/>
                                <w:szCs w:val="24"/>
                              </w:rPr>
                              <w:t xml:space="preserve"> </w:t>
                            </w:r>
                            <w:r w:rsidR="003E5904" w:rsidRPr="00BF0990">
                              <w:rPr>
                                <w:rFonts w:ascii="Verdana" w:hAnsi="Verdana" w:cs="Times New Roman"/>
                                <w:b/>
                                <w:color w:val="000000"/>
                                <w:sz w:val="28"/>
                                <w:szCs w:val="28"/>
                              </w:rPr>
                              <w:t>Marché</w:t>
                            </w:r>
                            <w:r w:rsidR="00733EA6">
                              <w:rPr>
                                <w:rFonts w:ascii="Verdana" w:hAnsi="Verdana" w:cs="Times New Roman"/>
                                <w:b/>
                                <w:color w:val="000000"/>
                                <w:sz w:val="28"/>
                                <w:szCs w:val="28"/>
                              </w:rPr>
                              <w:t xml:space="preserve"> </w:t>
                            </w:r>
                            <w:r w:rsidR="005D7400" w:rsidRPr="00BF0990">
                              <w:rPr>
                                <w:rFonts w:ascii="Verdana" w:hAnsi="Verdana" w:cs="Times New Roman"/>
                                <w:b/>
                                <w:color w:val="000000"/>
                                <w:sz w:val="28"/>
                                <w:szCs w:val="28"/>
                              </w:rPr>
                              <w:t>de maîtrise d'oeuvre des travaux</w:t>
                            </w:r>
                          </w:p>
                          <w:p w14:paraId="3F81401F" w14:textId="77777777" w:rsidR="003E5904" w:rsidRPr="00BF0990" w:rsidRDefault="003E5904" w:rsidP="0028119C">
                            <w:pPr>
                              <w:spacing w:after="0" w:line="276" w:lineRule="auto"/>
                              <w:jc w:val="center"/>
                              <w:rPr>
                                <w:rFonts w:ascii="Verdana" w:hAnsi="Verdana" w:cs="Times New Roman"/>
                                <w:b/>
                                <w:color w:val="000000"/>
                                <w:sz w:val="28"/>
                                <w:szCs w:val="28"/>
                              </w:rPr>
                            </w:pPr>
                            <w:r w:rsidRPr="00BF0990">
                              <w:rPr>
                                <w:rFonts w:ascii="Verdana" w:hAnsi="Verdana" w:cs="Times New Roman"/>
                                <w:b/>
                                <w:color w:val="000000"/>
                                <w:sz w:val="28"/>
                                <w:szCs w:val="28"/>
                              </w:rPr>
                              <w:t>Marché en procédure adaptée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446DB1"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Organigramme : Alternative 2" o:spid="_x0000_s1026" type="#_x0000_t176" style="position:absolute;left:0;text-align:left;margin-left:68.65pt;margin-top:.45pt;width:313.2pt;height:9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">
                <v:textbox>
                  <w:txbxContent>
                    <w:p w14:paraId="2F252821" w14:textId="18540DBE" w:rsidR="005D7400" w:rsidRPr="00BF0990" w:rsidRDefault="00000000" w:rsidP="0028119C">
                      <w:pPr>
                        <w:spacing w:after="0" w:line="276" w:lineRule="auto"/>
                        <w:jc w:val="center"/>
                        <w:rPr>
                          <w:rFonts w:ascii="Verdana" w:hAnsi="Verdana" w:cs="Times New Roman"/>
                          <w:b/>
                          <w:color w:val="000000"/>
                          <w:sz w:val="28"/>
                          <w:szCs w:val="28"/>
                        </w:rPr>
                      </w:pPr>
                      <w:r>
                        <w:rPr>
                          <w:rFonts w:ascii="Times New Roman" w:hAnsi="Times New Roman" w:cs="Times New Roman"/>
                          <w:sz w:val="24"/>
                          <w:szCs w:val="24"/>
                        </w:rPr>
                        <w:t xml:space="preserve"> </w:t>
                      </w:r>
                      <w:r w:rsidR="003E5904" w:rsidRPr="00BF0990">
                        <w:rPr>
                          <w:rFonts w:ascii="Verdana" w:hAnsi="Verdana" w:cs="Times New Roman"/>
                          <w:b/>
                          <w:color w:val="000000"/>
                          <w:sz w:val="28"/>
                          <w:szCs w:val="28"/>
                        </w:rPr>
                        <w:t>Marché</w:t>
                      </w:r>
                      <w:r w:rsidR="00733EA6">
                        <w:rPr>
                          <w:rFonts w:ascii="Verdana" w:hAnsi="Verdana" w:cs="Times New Roman"/>
                          <w:b/>
                          <w:color w:val="000000"/>
                          <w:sz w:val="28"/>
                          <w:szCs w:val="28"/>
                        </w:rPr>
                        <w:t xml:space="preserve"> </w:t>
                      </w:r>
                      <w:r w:rsidR="005D7400" w:rsidRPr="00BF0990">
                        <w:rPr>
                          <w:rFonts w:ascii="Verdana" w:hAnsi="Verdana" w:cs="Times New Roman"/>
                          <w:b/>
                          <w:color w:val="000000"/>
                          <w:sz w:val="28"/>
                          <w:szCs w:val="28"/>
                        </w:rPr>
                        <w:t>de maîtrise d'oeuvre des travaux</w:t>
                      </w:r>
                    </w:p>
                    <w:p w14:paraId="3F81401F" w14:textId="77777777" w:rsidR="003E5904" w:rsidRPr="00BF0990" w:rsidRDefault="003E5904" w:rsidP="0028119C">
                      <w:pPr>
                        <w:spacing w:after="0" w:line="276" w:lineRule="auto"/>
                        <w:jc w:val="center"/>
                        <w:rPr>
                          <w:rFonts w:ascii="Verdana" w:hAnsi="Verdana" w:cs="Times New Roman"/>
                          <w:b/>
                          <w:color w:val="000000"/>
                          <w:sz w:val="28"/>
                          <w:szCs w:val="28"/>
                        </w:rPr>
                      </w:pPr>
                      <w:r w:rsidRPr="00BF0990">
                        <w:rPr>
                          <w:rFonts w:ascii="Verdana" w:hAnsi="Verdana" w:cs="Times New Roman"/>
                          <w:b/>
                          <w:color w:val="000000"/>
                          <w:sz w:val="28"/>
                          <w:szCs w:val="28"/>
                        </w:rPr>
                        <w:t>Marché en procédure adaptée</w:t>
                      </w:r>
                    </w:p>
                  </w:txbxContent>
                </v:textbox>
              </v:shape>
            </w:pict>
          </mc:Fallback>
        </mc:AlternateContent>
      </w:r>
    </w:p>
    <w:p w14:paraId="1C1C2A8B" w14:textId="77777777" w:rsidR="0028119C" w:rsidRPr="00361117" w:rsidRDefault="0028119C" w:rsidP="0028119C">
      <w:pPr>
        <w:spacing w:after="0" w:line="276" w:lineRule="auto"/>
        <w:jc w:val="center"/>
        <w:rPr>
          <w:rFonts w:ascii="Verdana" w:hAnsi="Verdana" w:cs="Times New Roman"/>
          <w:sz w:val="20"/>
        </w:rPr>
      </w:pPr>
    </w:p>
    <w:p w14:paraId="7F98E012" w14:textId="77777777" w:rsidR="0028119C" w:rsidRDefault="0028119C" w:rsidP="0028119C">
      <w:pPr>
        <w:tabs>
          <w:tab w:val="center" w:pos="4536"/>
          <w:tab w:val="left" w:pos="6252"/>
        </w:tabs>
        <w:spacing w:after="200" w:line="276" w:lineRule="auto"/>
        <w:rPr>
          <w:rFonts w:ascii="Verdana" w:hAnsi="Verdana" w:cs="Times New Roman"/>
          <w:b/>
          <w:color w:val="800000"/>
          <w:sz w:val="32"/>
          <w:szCs w:val="32"/>
        </w:rPr>
      </w:pPr>
      <w:r>
        <w:rPr>
          <w:rFonts w:ascii="Verdana" w:hAnsi="Verdana" w:cs="Times New Roman"/>
          <w:b/>
          <w:color w:val="800000"/>
          <w:sz w:val="32"/>
          <w:szCs w:val="32"/>
        </w:rPr>
        <w:tab/>
      </w:r>
      <w:r>
        <w:rPr>
          <w:rFonts w:ascii="Verdana" w:hAnsi="Verdana" w:cs="Times New Roman"/>
          <w:b/>
          <w:color w:val="800000"/>
          <w:sz w:val="32"/>
          <w:szCs w:val="32"/>
        </w:rPr>
        <w:tab/>
      </w:r>
    </w:p>
    <w:p w14:paraId="26D920FB" w14:textId="77777777" w:rsidR="0028119C" w:rsidRDefault="0028119C" w:rsidP="0028119C">
      <w:pPr>
        <w:spacing w:after="200" w:line="276" w:lineRule="auto"/>
        <w:jc w:val="center"/>
        <w:rPr>
          <w:rFonts w:cs="Times New Roman"/>
        </w:rPr>
      </w:pPr>
    </w:p>
    <w:p w14:paraId="72D2FC32" w14:textId="77777777" w:rsidR="0028119C" w:rsidRDefault="0028119C" w:rsidP="0028119C">
      <w:pPr>
        <w:spacing w:after="200" w:line="276" w:lineRule="auto"/>
        <w:rPr>
          <w:rFonts w:ascii="Times New Roman" w:hAnsi="Times New Roman" w:cs="Times New Roman"/>
          <w:b/>
          <w:noProof/>
          <w:sz w:val="32"/>
          <w:szCs w:val="32"/>
          <w:lang w:eastAsia="fr-FR"/>
        </w:rPr>
      </w:pPr>
    </w:p>
    <w:p w14:paraId="23220127" w14:textId="77777777" w:rsidR="0028119C" w:rsidRDefault="0028119C" w:rsidP="0028119C">
      <w:pPr>
        <w:spacing w:after="200" w:line="276" w:lineRule="auto"/>
        <w:rPr>
          <w:rFonts w:ascii="Times New Roman" w:hAnsi="Times New Roman" w:cs="Times New Roman"/>
          <w:b/>
          <w:noProof/>
          <w:sz w:val="32"/>
          <w:szCs w:val="32"/>
          <w:lang w:eastAsia="fr-FR"/>
        </w:rPr>
      </w:pPr>
    </w:p>
    <w:p w14:paraId="6A92F9BA" w14:textId="77777777" w:rsidR="0028119C" w:rsidRPr="00390DBC" w:rsidRDefault="0028119C" w:rsidP="0028119C">
      <w:pPr>
        <w:spacing w:after="200" w:line="276" w:lineRule="auto"/>
        <w:jc w:val="center"/>
        <w:rPr>
          <w:rFonts w:ascii="Verdana" w:hAnsi="Verdana" w:cs="Times New Roman"/>
          <w:color w:val="000000"/>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6279"/>
      </w:tblGrid>
      <w:tr w:rsidR="0028119C" w14:paraId="1CC31D0E" w14:textId="77777777" w:rsidTr="00E12965">
        <w:tc>
          <w:tcPr>
            <w:tcW w:w="2802" w:type="dxa"/>
          </w:tcPr>
          <w:p w14:paraId="23833621" w14:textId="77777777" w:rsidR="0028119C" w:rsidRPr="00D34AB2" w:rsidRDefault="0028119C" w:rsidP="00E12965">
            <w:pPr>
              <w:spacing w:after="200" w:line="276" w:lineRule="auto"/>
              <w:rPr>
                <w:rFonts w:ascii="Verdana" w:hAnsi="Verdana" w:cs="Times New Roman"/>
                <w:b/>
                <w:noProof/>
                <w:sz w:val="28"/>
                <w:szCs w:val="28"/>
                <w:lang w:eastAsia="fr-FR"/>
              </w:rPr>
            </w:pPr>
            <w:r w:rsidRPr="00D34AB2">
              <w:rPr>
                <w:rFonts w:ascii="Verdana" w:hAnsi="Verdana" w:cs="Times New Roman"/>
                <w:b/>
                <w:noProof/>
                <w:sz w:val="28"/>
                <w:szCs w:val="28"/>
                <w:lang w:eastAsia="fr-FR"/>
              </w:rPr>
              <w:t>Objet de la consultation </w:t>
            </w:r>
          </w:p>
        </w:tc>
        <w:tc>
          <w:tcPr>
            <w:tcW w:w="6410" w:type="dxa"/>
          </w:tcPr>
          <w:p w14:paraId="7BC0567E" w14:textId="48C5EA28" w:rsidR="0028119C" w:rsidRPr="00D34AB2" w:rsidRDefault="00000000" w:rsidP="00E12965">
            <w:pPr>
              <w:spacing w:after="200" w:line="276" w:lineRule="auto"/>
              <w:rPr>
                <w:rFonts w:ascii="Verdana" w:hAnsi="Verdana" w:cs="Times New Roman"/>
                <w:b/>
                <w:noProof/>
                <w:sz w:val="32"/>
                <w:szCs w:val="32"/>
                <w:lang w:eastAsia="fr-FR"/>
              </w:rPr>
            </w:pPr>
            <w:r>
              <w:rPr>
                <w:noProof/>
              </w:rPr>
              <w:drawing>
                <wp:anchor distT="0" distB="0" distL="114300" distR="114300" simplePos="0" relativeHeight="251658239" behindDoc="1" locked="0" layoutInCell="1" allowOverlap="1" wp14:anchorId="263100EF" wp14:editId="40FD9E4D">
                  <wp:simplePos x="0" y="0"/>
                  <wp:positionH relativeFrom="column">
                    <wp:posOffset>-694055</wp:posOffset>
                  </wp:positionH>
                  <wp:positionV relativeFrom="paragraph">
                    <wp:posOffset>-1007745</wp:posOffset>
                  </wp:positionV>
                  <wp:extent cx="3474085" cy="3484880"/>
                  <wp:effectExtent l="0" t="0" r="0" b="0"/>
                  <wp:wrapNone/>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4085" cy="3484880"/>
                          </a:xfrm>
                          <a:prstGeom prst="rect">
                            <a:avLst/>
                          </a:prstGeom>
                          <a:noFill/>
                          <a:ln>
                            <a:noFill/>
                          </a:ln>
                        </pic:spPr>
                      </pic:pic>
                    </a:graphicData>
                  </a:graphic>
                  <wp14:sizeRelH relativeFrom="page">
                    <wp14:pctWidth>0</wp14:pctWidth>
                  </wp14:sizeRelH>
                  <wp14:sizeRelV relativeFrom="page">
                    <wp14:pctHeight>0</wp14:pctHeight>
                  </wp14:sizeRelV>
                </wp:anchor>
              </w:drawing>
            </w:r>
            <w:r w:rsidR="003E5904" w:rsidRPr="003E5904">
              <w:rPr>
                <w:rFonts w:ascii="Verdana" w:hAnsi="Verdana" w:cs="Times New Roman"/>
                <w:b/>
                <w:noProof/>
                <w:sz w:val="32"/>
                <w:szCs w:val="32"/>
                <w:lang w:eastAsia="fr-FR"/>
              </w:rPr>
              <w:t>Maitrise d</w:t>
            </w:r>
            <w:r w:rsidR="00733EA6">
              <w:rPr>
                <w:rFonts w:ascii="Verdana" w:hAnsi="Verdana" w:cs="Times New Roman"/>
                <w:b/>
                <w:noProof/>
                <w:sz w:val="32"/>
                <w:szCs w:val="32"/>
                <w:lang w:eastAsia="fr-FR"/>
              </w:rPr>
              <w:t>’</w:t>
            </w:r>
            <w:r w:rsidR="003E5904" w:rsidRPr="003E5904">
              <w:rPr>
                <w:rFonts w:ascii="Verdana" w:hAnsi="Verdana" w:cs="Times New Roman"/>
                <w:b/>
                <w:noProof/>
                <w:sz w:val="32"/>
                <w:szCs w:val="32"/>
                <w:lang w:eastAsia="fr-FR"/>
              </w:rPr>
              <w:t>oeuvre pour la création et l'extension de pontons flottants et le renforcement de structures existantes dans le port de Saint-Cyprien</w:t>
            </w:r>
          </w:p>
        </w:tc>
      </w:tr>
    </w:tbl>
    <w:p w14:paraId="043E708A" w14:textId="77777777" w:rsidR="0028119C" w:rsidRDefault="0028119C" w:rsidP="0028119C">
      <w:pPr>
        <w:spacing w:after="200" w:line="276" w:lineRule="auto"/>
        <w:rPr>
          <w:rFonts w:ascii="Times New Roman" w:hAnsi="Times New Roman" w:cs="Times New Roman"/>
          <w:b/>
          <w:noProof/>
          <w:sz w:val="32"/>
          <w:szCs w:val="32"/>
          <w:lang w:eastAsia="fr-FR"/>
        </w:rPr>
      </w:pPr>
    </w:p>
    <w:p w14:paraId="6A70186D" w14:textId="77777777" w:rsidR="0028119C" w:rsidRDefault="0028119C" w:rsidP="0028119C">
      <w:pPr>
        <w:spacing w:after="200" w:line="276" w:lineRule="auto"/>
        <w:rPr>
          <w:rFonts w:ascii="Times New Roman" w:hAnsi="Times New Roman" w:cs="Times New Roman"/>
          <w:b/>
          <w:noProof/>
          <w:sz w:val="32"/>
          <w:szCs w:val="32"/>
          <w:lang w:eastAsia="fr-FR"/>
        </w:rPr>
      </w:pPr>
    </w:p>
    <w:p w14:paraId="6965F393" w14:textId="77777777" w:rsidR="0028119C" w:rsidRDefault="0028119C" w:rsidP="0028119C">
      <w:pPr>
        <w:spacing w:after="200" w:line="276" w:lineRule="auto"/>
        <w:rPr>
          <w:rFonts w:ascii="Times New Roman" w:hAnsi="Times New Roman" w:cs="Times New Roman"/>
          <w:b/>
          <w:noProof/>
          <w:sz w:val="32"/>
          <w:szCs w:val="32"/>
          <w:lang w:eastAsia="fr-FR"/>
        </w:rPr>
      </w:pPr>
    </w:p>
    <w:p w14:paraId="073E306A" w14:textId="77777777" w:rsidR="0028119C" w:rsidRDefault="0028119C" w:rsidP="0028119C">
      <w:pPr>
        <w:spacing w:after="200" w:line="276" w:lineRule="auto"/>
        <w:rPr>
          <w:rFonts w:ascii="Times New Roman" w:hAnsi="Times New Roman" w:cs="Times New Roman"/>
          <w:b/>
          <w:noProof/>
          <w:sz w:val="32"/>
          <w:szCs w:val="32"/>
          <w:lang w:eastAsia="fr-FR"/>
        </w:rPr>
      </w:pPr>
    </w:p>
    <w:p w14:paraId="77D3F618" w14:textId="77777777" w:rsidR="0028119C" w:rsidRDefault="0028119C" w:rsidP="0028119C">
      <w:pPr>
        <w:spacing w:after="200" w:line="276" w:lineRule="auto"/>
        <w:rPr>
          <w:rFonts w:ascii="Times New Roman" w:hAnsi="Times New Roman" w:cs="Times New Roman"/>
          <w:b/>
          <w:noProof/>
          <w:sz w:val="32"/>
          <w:szCs w:val="32"/>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8119C" w:rsidRPr="00390DBC" w14:paraId="046C9B11" w14:textId="77777777" w:rsidTr="00E12965">
        <w:tc>
          <w:tcPr>
            <w:tcW w:w="9212" w:type="dxa"/>
          </w:tcPr>
          <w:p w14:paraId="199501A3" w14:textId="77777777" w:rsidR="0028119C" w:rsidRPr="003E5904" w:rsidRDefault="003E5904" w:rsidP="00E12965">
            <w:pPr>
              <w:spacing w:after="200" w:line="276" w:lineRule="auto"/>
              <w:jc w:val="center"/>
              <w:rPr>
                <w:rFonts w:ascii="Verdana" w:hAnsi="Verdana" w:cs="Times New Roman"/>
                <w:b/>
                <w:color w:val="000000"/>
                <w:sz w:val="32"/>
                <w:szCs w:val="32"/>
              </w:rPr>
            </w:pPr>
            <w:r w:rsidRPr="003E5904">
              <w:rPr>
                <w:rFonts w:ascii="Verdana" w:hAnsi="Verdana" w:cs="Times New Roman"/>
                <w:b/>
                <w:color w:val="000000"/>
                <w:sz w:val="32"/>
                <w:szCs w:val="32"/>
              </w:rPr>
              <w:t>Règlement de consultation</w:t>
            </w:r>
          </w:p>
        </w:tc>
      </w:tr>
      <w:tr w:rsidR="0028119C" w:rsidRPr="00390DBC" w14:paraId="7FB00EFC" w14:textId="77777777" w:rsidTr="00E12965">
        <w:tc>
          <w:tcPr>
            <w:tcW w:w="9212" w:type="dxa"/>
          </w:tcPr>
          <w:p w14:paraId="55858E47" w14:textId="77777777" w:rsidR="0028119C" w:rsidRPr="00D34AB2" w:rsidRDefault="005D7400" w:rsidP="00E12965">
            <w:pPr>
              <w:spacing w:after="200" w:line="276" w:lineRule="auto"/>
              <w:jc w:val="center"/>
              <w:rPr>
                <w:rFonts w:ascii="Verdana" w:hAnsi="Verdana" w:cs="Times New Roman"/>
                <w:b/>
                <w:sz w:val="24"/>
                <w:szCs w:val="24"/>
              </w:rPr>
            </w:pPr>
            <w:r w:rsidRPr="008143E4">
              <w:rPr>
                <w:rFonts w:ascii="Verdana" w:hAnsi="Verdana" w:cs="Times New Roman"/>
                <w:b/>
                <w:noProof/>
                <w:sz w:val="40"/>
                <w:szCs w:val="40"/>
                <w:lang w:eastAsia="fr-FR"/>
              </w:rPr>
              <w:t>MAPA N°26MO020</w:t>
            </w:r>
          </w:p>
        </w:tc>
      </w:tr>
    </w:tbl>
    <w:p w14:paraId="203BC78B" w14:textId="77777777" w:rsidR="0028119C" w:rsidRDefault="0028119C" w:rsidP="0028119C">
      <w:pPr>
        <w:spacing w:after="200" w:line="276" w:lineRule="auto"/>
        <w:rPr>
          <w:rFonts w:ascii="Times New Roman" w:hAnsi="Times New Roman" w:cs="Times New Roman"/>
          <w:b/>
          <w:noProof/>
          <w:sz w:val="32"/>
          <w:szCs w:val="32"/>
          <w:lang w:eastAsia="fr-FR"/>
        </w:rPr>
      </w:pPr>
    </w:p>
    <w:p w14:paraId="3062EBD9" w14:textId="77777777" w:rsidR="004D1FE5" w:rsidRDefault="004D1FE5" w:rsidP="0028119C">
      <w:pPr>
        <w:spacing w:after="0" w:line="240" w:lineRule="auto"/>
        <w:rPr>
          <w:sz w:val="20"/>
          <w:szCs w:val="20"/>
          <w:lang w:eastAsia="fr-FR"/>
        </w:rPr>
      </w:pPr>
    </w:p>
    <w:p w14:paraId="5DFEC131" w14:textId="77777777" w:rsidR="00FA7F0A" w:rsidRDefault="00FA7F0A" w:rsidP="0028119C">
      <w:pPr>
        <w:spacing w:after="0" w:line="240" w:lineRule="auto"/>
        <w:rPr>
          <w:sz w:val="20"/>
          <w:szCs w:val="20"/>
          <w:lang w:eastAsia="fr-FR"/>
        </w:rPr>
      </w:pPr>
    </w:p>
    <w:p w14:paraId="572A25D7"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lastRenderedPageBreak/>
        <w:t>Article 1 – Organisation de la commande au niveau de l'acheteur</w:t>
      </w:r>
    </w:p>
    <w:p w14:paraId="06FA954E"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Acheteur :</w:t>
      </w:r>
    </w:p>
    <w:p w14:paraId="563E8FE6"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Port de Saint-Cyprien</w:t>
      </w:r>
    </w:p>
    <w:p w14:paraId="39235E18"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Capitainerie</w:t>
      </w:r>
    </w:p>
    <w:p w14:paraId="1CDD9C02"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Quai de Pêche Professionnelle</w:t>
      </w:r>
    </w:p>
    <w:p w14:paraId="7CB6B1AB"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Siret : 21660171600170</w:t>
      </w:r>
    </w:p>
    <w:p w14:paraId="07CAEF20"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66750 Saint-Cyprien</w:t>
      </w:r>
    </w:p>
    <w:p w14:paraId="0F4457CC"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Tél : 0468219311</w:t>
      </w:r>
    </w:p>
    <w:p w14:paraId="4BE8F74A"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Courriel : contact@port-st-cyprien.com</w:t>
      </w:r>
    </w:p>
    <w:p w14:paraId="4363A4FA"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Adresse Internet : https://www.port-st-cyprien.com</w:t>
      </w:r>
    </w:p>
    <w:p w14:paraId="60BCF58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L'acheteur agit en tant que pouvoir adjudicateur.</w:t>
      </w:r>
    </w:p>
    <w:p w14:paraId="4C23BBF8"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2 – Etendue de la consultation</w:t>
      </w:r>
    </w:p>
    <w:p w14:paraId="11EEEBF8"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présente procédure adaptée ouverte est soumise aux dispositions de l'article R.2123-1, 1° et R2172-1 du Code de la Commande Publique.</w:t>
      </w:r>
    </w:p>
    <w:p w14:paraId="15DF3887"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2F8845B2"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présente consultation est une consultation initiale.</w:t>
      </w:r>
    </w:p>
    <w:p w14:paraId="19E68F6A"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3 – Définition des prestations</w:t>
      </w:r>
    </w:p>
    <w:p w14:paraId="3D188F81"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stipulations du présent document concernent les prestations désignées ci-dessous :</w:t>
      </w:r>
    </w:p>
    <w:p w14:paraId="724611F7"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Maitrise d'œuvre pour la création et l'extension de pontons flottants et le renforcement de structures existantes dans le port de Saint-Cyprien</w:t>
      </w:r>
    </w:p>
    <w:p w14:paraId="052C233A"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09500A2B"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présente consultation concerne l'exécution d'une mission de maîtrise d'œuvre en vue de la réalisation des travaux désignés ci-après :</w:t>
      </w:r>
    </w:p>
    <w:p w14:paraId="5EA2B989"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Création et extension de pontons flottants</w:t>
      </w:r>
    </w:p>
    <w:p w14:paraId="23B4932A"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617E764A"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travaux se situent à l'adresse suivante :</w:t>
      </w:r>
    </w:p>
    <w:p w14:paraId="793BA351"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Port de Saint-Cyprien</w:t>
      </w:r>
    </w:p>
    <w:p w14:paraId="7FF5551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66750 Saint-Cyprien</w:t>
      </w:r>
    </w:p>
    <w:p w14:paraId="01CDEDCF"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5428D652"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3DB2E381"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La partie de l'enveloppe financière affectée aux travaux (Co) par le maître de l'ouvrage est égale à </w:t>
      </w:r>
      <w:r>
        <w:rPr>
          <w:rFonts w:ascii="Verdana" w:hAnsi="Verdana" w:cs="Times New Roman"/>
          <w:b/>
          <w:sz w:val="20"/>
          <w:szCs w:val="24"/>
        </w:rPr>
        <w:t>1 900 000.00 euros hors taxes</w:t>
      </w:r>
      <w:r>
        <w:rPr>
          <w:rFonts w:ascii="Verdana" w:hAnsi="Verdana" w:cs="Times New Roman"/>
          <w:sz w:val="20"/>
          <w:szCs w:val="24"/>
        </w:rPr>
        <w:t>.</w:t>
      </w:r>
    </w:p>
    <w:p w14:paraId="12CEA2EF"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4 – Découpage des prestations</w:t>
      </w:r>
    </w:p>
    <w:p w14:paraId="1C4D60DA"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Il n'est pas prévu de découpage en lots. Les prestations seront attribuées par marché unique.</w:t>
      </w:r>
    </w:p>
    <w:p w14:paraId="5F893D3F"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5 – Justification au non allotissement</w:t>
      </w:r>
    </w:p>
    <w:p w14:paraId="2EFF809D"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consultation n'est pas allotie car l'objet du marché ne permet pas l'identification de prestations distinctes.Le marché public n'est pas alloti pour les raisons suivantes :</w:t>
      </w:r>
    </w:p>
    <w:p w14:paraId="1AF5E200"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65EBE11B"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-éviter la disparité des titulaires afin de ne pas engendrer une exécution technique complexe pour les services concernés.</w:t>
      </w:r>
    </w:p>
    <w:p w14:paraId="2527B11C"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-Éviter pour l'acheteur public, une exécution financière plus couteuse de par la disparité des titulaires.</w:t>
      </w:r>
    </w:p>
    <w:p w14:paraId="7EC25303"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maitre d'œuvre retenu ou le prestataire assumera plusieurs spécialités techniques permettant de couvrir les diverses missions.</w:t>
      </w:r>
    </w:p>
    <w:p w14:paraId="7FF7A41B"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6 – Forme(s) du/des marché(s)</w:t>
      </w:r>
    </w:p>
    <w:p w14:paraId="5A5F9020"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Marché ordinaire.</w:t>
      </w:r>
    </w:p>
    <w:p w14:paraId="1F290042"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7 – Durée du marché</w:t>
      </w:r>
    </w:p>
    <w:p w14:paraId="02FB9549" w14:textId="031005E4"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lastRenderedPageBreak/>
        <w:t>Les stipulations relatives aux durées et délais sont précisées à l'article "Durée du marché" du CCP</w:t>
      </w:r>
      <w:r w:rsidR="00733EA6">
        <w:rPr>
          <w:rFonts w:ascii="Verdana" w:hAnsi="Verdana" w:cs="Times New Roman"/>
          <w:sz w:val="20"/>
          <w:szCs w:val="24"/>
        </w:rPr>
        <w:t>, ,soit 24 mois à compter de l’mission du 1</w:t>
      </w:r>
      <w:r w:rsidR="00733EA6" w:rsidRPr="00733EA6">
        <w:rPr>
          <w:rFonts w:ascii="Verdana" w:hAnsi="Verdana" w:cs="Times New Roman"/>
          <w:sz w:val="20"/>
          <w:szCs w:val="24"/>
          <w:vertAlign w:val="superscript"/>
        </w:rPr>
        <w:t>er</w:t>
      </w:r>
      <w:r w:rsidR="00733EA6">
        <w:rPr>
          <w:rFonts w:ascii="Verdana" w:hAnsi="Verdana" w:cs="Times New Roman"/>
          <w:sz w:val="20"/>
          <w:szCs w:val="24"/>
        </w:rPr>
        <w:t xml:space="preserve"> ordre de service.</w:t>
      </w:r>
    </w:p>
    <w:p w14:paraId="089AB291"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8 – Variantes</w:t>
      </w:r>
    </w:p>
    <w:p w14:paraId="31C11C20"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Il n'est pas exigé de variante de la part de l'acheteur et les variantes proposées par les candidats ne sont pas autorisées.</w:t>
      </w:r>
    </w:p>
    <w:p w14:paraId="5860D1FA"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9 – Délivrance du dossier de consultation des entreprises</w:t>
      </w:r>
    </w:p>
    <w:p w14:paraId="15645707"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L'accès aux documents de la consultation est gratuit, complet, direct et sans restriction sur le site : https://www.marches-securises.fr</w:t>
      </w:r>
    </w:p>
    <w:p w14:paraId="456B5241"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413F4F9F"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DCE est composé des documents suivants :</w:t>
      </w:r>
    </w:p>
    <w:p w14:paraId="34DE4F98" w14:textId="77777777" w:rsidR="00000000" w:rsidRDefault="00000000" w:rsidP="00733EA6">
      <w:pPr>
        <w:numPr>
          <w:ilvl w:val="0"/>
          <w:numId w:val="1"/>
        </w:numPr>
        <w:autoSpaceDE w:val="0"/>
        <w:autoSpaceDN w:val="0"/>
        <w:adjustRightInd w:val="0"/>
        <w:spacing w:before="100" w:after="0" w:line="240" w:lineRule="auto"/>
        <w:ind w:left="580" w:hanging="250"/>
        <w:rPr>
          <w:rFonts w:ascii="Verdana" w:hAnsi="Verdana" w:cs="Times New Roman"/>
          <w:sz w:val="20"/>
          <w:szCs w:val="24"/>
        </w:rPr>
      </w:pPr>
      <w:r>
        <w:rPr>
          <w:rFonts w:ascii="Verdana" w:hAnsi="Verdana" w:cs="Times New Roman"/>
          <w:sz w:val="20"/>
          <w:szCs w:val="24"/>
        </w:rPr>
        <w:t>Le programme de l'opération</w:t>
      </w:r>
    </w:p>
    <w:p w14:paraId="4FA042F9" w14:textId="77777777" w:rsidR="00000000" w:rsidRDefault="00000000" w:rsidP="00733EA6">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Cahier des Clauses Particulières</w:t>
      </w:r>
    </w:p>
    <w:p w14:paraId="5236329B" w14:textId="77777777" w:rsidR="00000000" w:rsidRDefault="00000000" w:rsidP="00733EA6">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Acte d'engagement</w:t>
      </w:r>
    </w:p>
    <w:p w14:paraId="04405095" w14:textId="77777777" w:rsidR="00000000" w:rsidRDefault="00000000" w:rsidP="00733EA6">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Règlement de Consultation</w:t>
      </w:r>
    </w:p>
    <w:p w14:paraId="326029AA"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10 – Modifications majeures du dossier de consultation</w:t>
      </w:r>
    </w:p>
    <w:p w14:paraId="2E2B27D0"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Conformément à l'article R2151-4,2° du code de la commande publique, si des modifications importantes sont apportées aux documents de la consultation, l'acheteur proroge le délai de réception des offres à proportion de l'importance des modifications apportées. Aucune modification importante du cahier des charges ou des conditions de mise en concurrence ne peut avoir lieu sans que les candidats ne puissent disposer d'un minimum de 15 jours francs entre l'information faite aux candidats de la modification et la date limite de réception des offres.</w:t>
      </w:r>
    </w:p>
    <w:p w14:paraId="48A33439"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11 – Modifications mineures du dossier de consultation</w:t>
      </w:r>
    </w:p>
    <w:p w14:paraId="38174A7F"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L'acheteur se réserve le droit d'apporter des modifications de détail au dossier de consultation au plus tard 6 jours avant la date limite de réception des offres. Les candidats devront alors répondre sur la base du dossier modifié sans pouvoir élever aucune réclamation à ce sujet.</w:t>
      </w:r>
    </w:p>
    <w:p w14:paraId="7091B12B"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Si, pendant l'étude du dossier par les concurrents, la date limite fixée pour la remise des offres est reportée, la disposition précédente est applicable en fonction de cette nouvelle date.</w:t>
      </w:r>
    </w:p>
    <w:p w14:paraId="20469FF5"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12 – Interdiction de soumissionner</w:t>
      </w:r>
    </w:p>
    <w:p w14:paraId="50732BAE"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L'acheteur, en vertu des articles L2141-7 à L2141-11 du code de la commande publique, peut exclure les candidatures se trouvant dans les situations qui y sont décrites, en particulier dans les cas qui suivent, sous réserve que dans un délai de 2 jours à compter de la réception d'un courrier l'y invitant, le candidat démontre qu'il a pris les mesures nécessaires pour corriger les manquements qui lui sont reprochés et, le cas échéant, que sa participation à la procédure de passation du marché public n'est pas susceptible de porter atteinte à l'égalité de traitement.</w:t>
      </w:r>
    </w:p>
    <w:p w14:paraId="6D5F9C75"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L'acheteur exclut les personnes qui, au cours des trois années précédentes, ont dû verser des dommages et intérêts, ont été sanctionnées par une résiliation ou ont fait l'objet d'une sanction comparable du fait d'un manquement grave ou persistant à leurs obligations contractuelles lors de l'exécution d'un marché public antérieur.</w:t>
      </w:r>
    </w:p>
    <w:p w14:paraId="08022413"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L'acheteur exclut les personnes qui, par leur participation préalable directe ou indirecte à la préparation de la procédure de passation du marché public, ont eu accès à des informations susceptibles de créer une distorsion de concurrence par rapport aux autres candidats, lorsqu'il ne peut être remédié à cette situation par d'autres moyens.</w:t>
      </w:r>
    </w:p>
    <w:p w14:paraId="552EB236"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L'acheteur exclut les personnes à l'égard desquelles l'acheteur dispose d'éléments suffisamment probants ou constituant un faisceau d'indices graves, sérieux et concordants pour en déduire qu'elles ont conclu une entente avec d'autres opérateurs économiques en vue de fausser la concurrence.</w:t>
      </w:r>
    </w:p>
    <w:p w14:paraId="7B779C21"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lastRenderedPageBreak/>
        <w:t>L'acheteur exclut les personnes qui, par leur candidature, créent une situation de conflit d'intérêts, lorsqu'il ne peut y être remédié par d'autres moyens. Constitue une situation de conflit d'intérêts toute situation dans laquelle une personne qui participe au déroulement de la procédure de passation du marché public ou est susceptible d'en influencer l'issue a, directement ou indirectement, un intérêt financier, économique ou tout autre intérêt personnel qui pourrait compromettre son impartialité ou son indépendance dans le cadre de la procédure de passation du marché public.</w:t>
      </w:r>
      <w:bookmarkStart w:id="0" w:name="JUSTIF"/>
      <w:bookmarkEnd w:id="0"/>
    </w:p>
    <w:p w14:paraId="36AD8803"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13 – Présentation de candidature conformément à l'article R2143-3 du code de la commande publique</w:t>
      </w:r>
    </w:p>
    <w:p w14:paraId="3A47B5D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candidats ne sont pas tenus de fournir les documents justificatifs et moyens de preuve que l'acheteur peut obtenir directement par le biais d'un système électronique de mise à disposition d'informations administré par un organisme officiel ou d'un espace de stockage numérique, à condition que figurent dans le dossier de candidature toutes les informations nécessaires à la consultation de ce système ou de cet espace et que l'accès à ceux-ci soit gratuit.</w:t>
      </w:r>
    </w:p>
    <w:p w14:paraId="6C175E94" w14:textId="77777777" w:rsidR="00000000" w:rsidRDefault="00000000">
      <w:pPr>
        <w:autoSpaceDE w:val="0"/>
        <w:autoSpaceDN w:val="0"/>
        <w:adjustRightInd w:val="0"/>
        <w:spacing w:after="0" w:line="240" w:lineRule="auto"/>
        <w:jc w:val="both"/>
        <w:rPr>
          <w:rFonts w:ascii="Verdana" w:hAnsi="Verdana" w:cs="Times New Roman"/>
          <w:b/>
          <w:sz w:val="20"/>
          <w:szCs w:val="24"/>
        </w:rPr>
      </w:pPr>
      <w:r>
        <w:rPr>
          <w:rFonts w:ascii="Verdana" w:hAnsi="Verdana" w:cs="Times New Roman"/>
          <w:b/>
          <w:sz w:val="20"/>
          <w:szCs w:val="24"/>
        </w:rPr>
        <w:t>Les candidats ne sont pas tenus de fournir les documents et renseignements qu'ils ont déjà transmis dans une précédente consultation et qui demeurent valables.</w:t>
      </w:r>
    </w:p>
    <w:p w14:paraId="5794486E"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Chaque candidat aura à produire un dossier complet comprenant les pièces suivantes :</w:t>
      </w:r>
    </w:p>
    <w:p w14:paraId="6EAB76C1" w14:textId="77777777" w:rsidR="00000000" w:rsidRDefault="00000000" w:rsidP="00733EA6">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Une lettre de candidature établie sur un formulaire DC1 à jour entièrement complété, ou établie sur papier libre, précisant :</w:t>
      </w:r>
    </w:p>
    <w:p w14:paraId="42F7BF4D" w14:textId="77777777" w:rsidR="00000000" w:rsidRDefault="00000000" w:rsidP="00733EA6">
      <w:pPr>
        <w:numPr>
          <w:ilvl w:val="0"/>
          <w:numId w:val="2"/>
        </w:numPr>
        <w:autoSpaceDE w:val="0"/>
        <w:autoSpaceDN w:val="0"/>
        <w:adjustRightInd w:val="0"/>
        <w:spacing w:after="0" w:line="240" w:lineRule="auto"/>
        <w:ind w:left="1160" w:hanging="250"/>
        <w:rPr>
          <w:rFonts w:ascii="Verdana" w:hAnsi="Verdana" w:cs="Times New Roman"/>
          <w:sz w:val="20"/>
          <w:szCs w:val="24"/>
        </w:rPr>
      </w:pPr>
      <w:r>
        <w:rPr>
          <w:rFonts w:ascii="Verdana" w:hAnsi="Verdana" w:cs="Times New Roman"/>
          <w:sz w:val="20"/>
          <w:szCs w:val="24"/>
        </w:rPr>
        <w:t xml:space="preserve">le nom et l'adresse du candidat </w:t>
      </w:r>
    </w:p>
    <w:p w14:paraId="3572CA1C" w14:textId="77777777" w:rsidR="00000000" w:rsidRDefault="00000000" w:rsidP="00733EA6">
      <w:pPr>
        <w:numPr>
          <w:ilvl w:val="0"/>
          <w:numId w:val="2"/>
        </w:numPr>
        <w:autoSpaceDE w:val="0"/>
        <w:autoSpaceDN w:val="0"/>
        <w:adjustRightInd w:val="0"/>
        <w:spacing w:after="0" w:line="240" w:lineRule="auto"/>
        <w:ind w:left="1160" w:hanging="250"/>
        <w:rPr>
          <w:rFonts w:ascii="Verdana" w:hAnsi="Verdana" w:cs="Times New Roman"/>
          <w:sz w:val="20"/>
          <w:szCs w:val="24"/>
        </w:rPr>
      </w:pPr>
      <w:r>
        <w:rPr>
          <w:rFonts w:ascii="Verdana" w:hAnsi="Verdana" w:cs="Times New Roman"/>
          <w:sz w:val="20"/>
          <w:szCs w:val="24"/>
        </w:rPr>
        <w:t>si le candidat se présente seul ou en groupement ; dans ce dernier cas, désignation des membres du groupement et du mandataire et répartition des prestations en cas de groupement conjoint</w:t>
      </w:r>
    </w:p>
    <w:p w14:paraId="0FC0658C" w14:textId="77777777" w:rsidR="00000000" w:rsidRDefault="00000000" w:rsidP="00733EA6">
      <w:pPr>
        <w:numPr>
          <w:ilvl w:val="0"/>
          <w:numId w:val="2"/>
        </w:numPr>
        <w:autoSpaceDE w:val="0"/>
        <w:autoSpaceDN w:val="0"/>
        <w:adjustRightInd w:val="0"/>
        <w:spacing w:after="0" w:line="240" w:lineRule="auto"/>
        <w:ind w:left="1160" w:hanging="250"/>
        <w:rPr>
          <w:rFonts w:ascii="Verdana" w:hAnsi="Verdana" w:cs="Times New Roman"/>
          <w:sz w:val="20"/>
          <w:szCs w:val="24"/>
        </w:rPr>
      </w:pPr>
      <w:r>
        <w:rPr>
          <w:rFonts w:ascii="Verdana" w:hAnsi="Verdana" w:cs="Times New Roman"/>
          <w:sz w:val="20"/>
          <w:szCs w:val="24"/>
        </w:rPr>
        <w:t xml:space="preserve">Une déclaration sur l'honneur : le candidat devra produire une déclaration sur l'honneur pour justifier qu'il n'entre dans aucun des cas mentionnés aux articles L2141-1 à L2141-5 et L2141-7 à L2141-10 du code de la commande publique et notamment qu'il est en règle au regard des articles L. 5212-1 à L. 5212-11 du code du travail concernant l'emploi des travailleurs handicapés </w:t>
      </w:r>
    </w:p>
    <w:p w14:paraId="63046960" w14:textId="77777777" w:rsidR="00000000" w:rsidRDefault="00000000" w:rsidP="00733EA6">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Une déclaration du candidat établie sur un formulaire DC2 à jour entièrement complété, précisant les renseignements demandés à l'article 15 - Conditions de participation et moyens de preuve acceptables ou les documents établissant ses capacités, tels que demandés à ce même article</w:t>
      </w:r>
    </w:p>
    <w:p w14:paraId="3B4B6696"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Pour information, les formulaires à jour de type DC1, DC2, etc. sont disponibles sur le site internet du ministère de l'économie</w:t>
      </w:r>
    </w:p>
    <w:p w14:paraId="56AB52BF"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(http://www.economie.gouv.fr/daj/formulaires-declaration-du-candidat)</w:t>
      </w:r>
    </w:p>
    <w:p w14:paraId="0592437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L'acheteur exige que les opérateurs économiques signent électroniquement les formulaires DC1 et DC2.</w:t>
      </w:r>
    </w:p>
    <w:p w14:paraId="5732795A"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14 – Présentation de candidature sous forme de DUME conformément à l'article R2143-4 du code de la commande publique</w:t>
      </w:r>
    </w:p>
    <w:p w14:paraId="46666516"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L'acheteur accepte que le candidat présente sa candidature sous la forme d'un document unique de marché européen établi conformément au modèle fixé par le règlement de la Commission européenne 2016/7, en lieu et place des documents mentionnés à l'article R2143-3 du code de la commande publique.</w:t>
      </w:r>
    </w:p>
    <w:p w14:paraId="6140CC57"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L'acheteur ne met pas à disposition des candidats de DUME Acheteur. Cela signifie que les candidats doivent renseigner la première partie du DUME concernant les informations relatives à la procédure.</w:t>
      </w:r>
    </w:p>
    <w:p w14:paraId="0DEC0D29"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DUME électronique</w:t>
      </w:r>
      <w:r>
        <w:rPr>
          <w:rFonts w:ascii="Verdana" w:hAnsi="Verdana" w:cs="Times New Roman"/>
          <w:sz w:val="20"/>
          <w:szCs w:val="24"/>
        </w:rPr>
        <w:t xml:space="preserve"> </w:t>
      </w:r>
    </w:p>
    <w:p w14:paraId="33C1926C"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L'acheteur accepte que le candidat présente sa candidature en utilisant le DUME électronique sous forme d'échange de données structurées.</w:t>
      </w:r>
    </w:p>
    <w:p w14:paraId="241AF960"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lastRenderedPageBreak/>
        <w:t>L'acheteur exige que les opérateurs économiques signent électroniquement le DC1,DC2 ou le DUME..</w:t>
      </w:r>
    </w:p>
    <w:p w14:paraId="39DD9DEF"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Consignes pour remplir le DUME selon la forme de candidature optée par l'opérateur économique</w:t>
      </w:r>
      <w:r>
        <w:rPr>
          <w:rFonts w:ascii="Verdana" w:hAnsi="Verdana" w:cs="Times New Roman"/>
          <w:sz w:val="20"/>
          <w:szCs w:val="24"/>
        </w:rPr>
        <w:t xml:space="preserve"> </w:t>
      </w:r>
    </w:p>
    <w:p w14:paraId="0600AD4C"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Un opérateur économique qui participe à titre individuel et qui ne recourt pas aux capacités d'autres entités pour remplir les conditions de participation doit remplir un DUME.</w:t>
      </w:r>
    </w:p>
    <w:p w14:paraId="6304FD6C"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Un opérateur économique qui participe à titre individuel, mais qui recourt aux capacités d'une ou de plusieurs autres entités, doit veiller à ce que l'acheteur reçoive à la fois son DUME et un DUME distinct contenant les informations pertinentes pour chacune des entités auxquelles il fait appel ; à savoir les informations demandées dans les sections A et B de la partie II et la partie III, dûment rempli et signé par les entités concernés et dans la mesure où cela est pertinent, au vu des capacités auxquelles l'opérateur économique a recours, les parties IV et V.</w:t>
      </w:r>
    </w:p>
    <w:p w14:paraId="517AF6A5"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En cas de candidature sous forme de groupement d'opérateurs économiques, un DUME distinct indiquant les informations requises au titre des parties II à V doit être remis pour chacun des opérateurs économiques participants.</w:t>
      </w:r>
      <w:bookmarkStart w:id="1" w:name="CONDPARTIP"/>
      <w:bookmarkEnd w:id="1"/>
    </w:p>
    <w:p w14:paraId="7554ECAF"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15 – Conditions de participation et moyens de preuve acceptables</w:t>
      </w:r>
    </w:p>
    <w:p w14:paraId="5608E01F"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documents et renseignements demandés par l'acheteur aux fins de vérification de l'aptitude à exercer l'activité professionnelle, de la capacité économique et financière et des capacités techniques et professionnelles du candidat sont :</w:t>
      </w:r>
    </w:p>
    <w:p w14:paraId="2D8AEA7E" w14:textId="77777777" w:rsidR="00000000" w:rsidRDefault="00000000" w:rsidP="00733EA6">
      <w:pPr>
        <w:numPr>
          <w:ilvl w:val="0"/>
          <w:numId w:val="2"/>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L'opérateur économique doit être inscrit sur un registre professionnel ou sur un registre du commerce suivant:Registre du commerce et des sociétés ou répertoire des métiers</w:t>
      </w:r>
    </w:p>
    <w:p w14:paraId="4552A676" w14:textId="77777777" w:rsidR="00000000" w:rsidRDefault="00000000" w:rsidP="00733EA6">
      <w:pPr>
        <w:numPr>
          <w:ilvl w:val="0"/>
          <w:numId w:val="2"/>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Indications concernant le chiffre d'affaires annuel général sur 3 ans.</w:t>
      </w:r>
    </w:p>
    <w:p w14:paraId="0EC8C9AC" w14:textId="77777777" w:rsidR="00000000" w:rsidRDefault="00000000" w:rsidP="00733EA6">
      <w:pPr>
        <w:numPr>
          <w:ilvl w:val="0"/>
          <w:numId w:val="2"/>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Indication concernant le montant couvert par l'assurance pour risques professionnels</w:t>
      </w:r>
    </w:p>
    <w:p w14:paraId="47ED85EE" w14:textId="77777777" w:rsidR="00000000" w:rsidRDefault="00000000" w:rsidP="00733EA6">
      <w:pPr>
        <w:numPr>
          <w:ilvl w:val="0"/>
          <w:numId w:val="2"/>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Références des principales fournitures ou des principaux services fournis sur 3 ans.</w:t>
      </w:r>
    </w:p>
    <w:p w14:paraId="7E37C902" w14:textId="77777777" w:rsidR="00000000" w:rsidRDefault="00000000" w:rsidP="00733EA6">
      <w:pPr>
        <w:numPr>
          <w:ilvl w:val="0"/>
          <w:numId w:val="2"/>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Titres d'études et professionnels exigés du prestataire de services ou du contractant lui-même</w:t>
      </w:r>
    </w:p>
    <w:p w14:paraId="3D2751DB" w14:textId="77777777" w:rsidR="00000000" w:rsidRDefault="00000000" w:rsidP="00733EA6">
      <w:pPr>
        <w:numPr>
          <w:ilvl w:val="0"/>
          <w:numId w:val="2"/>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Certificats de qualifications professionnelles, et tout moyen de preuve équivalent, correspondant à :Infrastructures nautiques (pontons)</w:t>
      </w:r>
    </w:p>
    <w:p w14:paraId="287C096A" w14:textId="77777777" w:rsidR="00000000" w:rsidRDefault="00000000" w:rsidP="00733EA6">
      <w:pPr>
        <w:numPr>
          <w:ilvl w:val="0"/>
          <w:numId w:val="2"/>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Indication par l'opérateur économique des mesures de gestion environnementale que celui-ci pourra appliquer lors de l'exécution du marché.</w:t>
      </w:r>
    </w:p>
    <w:p w14:paraId="3981EC98" w14:textId="77777777" w:rsidR="00000000" w:rsidRDefault="00000000" w:rsidP="00733EA6">
      <w:pPr>
        <w:numPr>
          <w:ilvl w:val="0"/>
          <w:numId w:val="2"/>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Déclaration indiquant les effectifs moyens annuels du candidat et le nombre de cadres pendant les trois dernières années</w:t>
      </w:r>
    </w:p>
    <w:p w14:paraId="485E48D4" w14:textId="77777777" w:rsidR="00000000" w:rsidRDefault="00000000" w:rsidP="00733EA6">
      <w:pPr>
        <w:numPr>
          <w:ilvl w:val="0"/>
          <w:numId w:val="2"/>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une déclaration indiquant l'outillage, le matériel et l'équipement technique dont le candidat dispose pour l'exécution du marché</w:t>
      </w:r>
    </w:p>
    <w:p w14:paraId="641CBD0A" w14:textId="77777777" w:rsidR="00000000" w:rsidRDefault="00000000" w:rsidP="00733EA6">
      <w:pPr>
        <w:numPr>
          <w:ilvl w:val="0"/>
          <w:numId w:val="2"/>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Indication de la part du marché que l'opérateur économique a éventuellement l'intention de sous-traiter.</w:t>
      </w:r>
    </w:p>
    <w:p w14:paraId="3D8D022C"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16 – Forme juridique des groupements</w:t>
      </w:r>
    </w:p>
    <w:p w14:paraId="65992E25"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Dans le cas d'une candidature et d'une offre présentées par un groupement, le mandataire assure la sécurité et l'authenticité des informations transmises au nom des membres du groupement.</w:t>
      </w:r>
    </w:p>
    <w:p w14:paraId="408C2B51"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5C668F27"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En cas de groupement, sa transformation dans une forme juridique déterminée ne pourra pas être exigée pour la présentation d'une candidature ou d'une offre. Cependant, après l'attribution du marché, il pourra être exigé du groupement titulaire d'adopter la forme juridique du groupement solidaire.</w:t>
      </w:r>
    </w:p>
    <w:p w14:paraId="658EA501"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2C5D0F66"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Justification par l'acheteur de la nécessité de cette exigence à la bonne exécution des prestations:Le Pouvoir adjudicateur retient la solution du Groupement Solidaire </w:t>
      </w:r>
      <w:r>
        <w:rPr>
          <w:rFonts w:ascii="Verdana" w:hAnsi="Verdana" w:cs="Times New Roman"/>
          <w:sz w:val="20"/>
          <w:szCs w:val="24"/>
        </w:rPr>
        <w:lastRenderedPageBreak/>
        <w:t>Uniquement avec régularisation du type de groupement lors de la conclusion du marché public.</w:t>
      </w:r>
    </w:p>
    <w:p w14:paraId="09249573"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17 –Restrictions liées à la présentation des candidatures</w:t>
      </w:r>
    </w:p>
    <w:p w14:paraId="5B8604A3"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même entreprise ne peut pas présenter pour le marché plusieurs candidatures, en agissant à la fois :</w:t>
      </w:r>
    </w:p>
    <w:p w14:paraId="3F6CD355" w14:textId="77777777" w:rsidR="00000000" w:rsidRDefault="00000000" w:rsidP="00733EA6">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en qualité de candidat individuel et de membre d'un ou plusieurs groupements ;</w:t>
      </w:r>
    </w:p>
    <w:p w14:paraId="4CF42FDB" w14:textId="77777777" w:rsidR="00000000" w:rsidRDefault="00000000" w:rsidP="00733EA6">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en qualité de membre de plusieurs groupements.</w:t>
      </w:r>
    </w:p>
    <w:p w14:paraId="4EDCC571"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18 – Critères d'attribution</w:t>
      </w:r>
    </w:p>
    <w:p w14:paraId="068F5493"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classement des offres et le choix du/des attributaire(s) sont fondés sur l'offre économiquement la plus avantageuse appréciée en fonction des critères qui suivent, pondérés par points :</w:t>
      </w:r>
    </w:p>
    <w:p w14:paraId="43AC3AAF"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415416A7"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1.</w:t>
      </w:r>
      <w:r>
        <w:rPr>
          <w:rFonts w:ascii="Verdana" w:hAnsi="Verdana" w:cs="Times New Roman"/>
          <w:sz w:val="20"/>
          <w:szCs w:val="24"/>
        </w:rPr>
        <w:t xml:space="preserve"> Critère </w:t>
      </w:r>
      <w:r>
        <w:rPr>
          <w:rFonts w:ascii="Verdana" w:hAnsi="Verdana" w:cs="Times New Roman"/>
          <w:b/>
          <w:sz w:val="20"/>
          <w:szCs w:val="24"/>
        </w:rPr>
        <w:t>Prix</w:t>
      </w:r>
      <w:r>
        <w:rPr>
          <w:rFonts w:ascii="Verdana" w:hAnsi="Verdana" w:cs="Times New Roman"/>
          <w:sz w:val="20"/>
          <w:szCs w:val="24"/>
        </w:rPr>
        <w:t xml:space="preserve"> pondéré à 60 sur 100 points.</w:t>
      </w:r>
    </w:p>
    <w:p w14:paraId="51F5DEA8"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606BB2A3"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2.</w:t>
      </w:r>
      <w:r>
        <w:rPr>
          <w:rFonts w:ascii="Verdana" w:hAnsi="Verdana" w:cs="Times New Roman"/>
          <w:sz w:val="20"/>
          <w:szCs w:val="24"/>
        </w:rPr>
        <w:t xml:space="preserve"> Critère </w:t>
      </w:r>
      <w:r>
        <w:rPr>
          <w:rFonts w:ascii="Verdana" w:hAnsi="Verdana" w:cs="Times New Roman"/>
          <w:b/>
          <w:sz w:val="20"/>
          <w:szCs w:val="24"/>
        </w:rPr>
        <w:t>Valeur technique</w:t>
      </w:r>
      <w:r>
        <w:rPr>
          <w:rFonts w:ascii="Verdana" w:hAnsi="Verdana" w:cs="Times New Roman"/>
          <w:sz w:val="20"/>
          <w:szCs w:val="24"/>
        </w:rPr>
        <w:t xml:space="preserve"> pondéré à 40 sur 100 points.</w:t>
      </w:r>
    </w:p>
    <w:p w14:paraId="1EB10EBA"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098EC48C"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4516F392" w14:textId="77777777" w:rsidR="00000000" w:rsidRDefault="00000000">
      <w:pPr>
        <w:autoSpaceDE w:val="0"/>
        <w:autoSpaceDN w:val="0"/>
        <w:adjustRightInd w:val="0"/>
        <w:spacing w:after="0" w:line="240" w:lineRule="auto"/>
        <w:jc w:val="both"/>
        <w:rPr>
          <w:rFonts w:ascii="Verdana" w:hAnsi="Verdana" w:cs="Times New Roman"/>
          <w:sz w:val="20"/>
          <w:szCs w:val="24"/>
          <w:u w:val="single"/>
        </w:rPr>
      </w:pPr>
      <w:r>
        <w:rPr>
          <w:rFonts w:ascii="Verdana" w:hAnsi="Verdana" w:cs="Times New Roman"/>
          <w:sz w:val="20"/>
          <w:szCs w:val="24"/>
          <w:u w:val="single"/>
        </w:rPr>
        <w:t>Modalités de mise en oeuvre des critères</w:t>
      </w:r>
    </w:p>
    <w:p w14:paraId="1C8AF12C" w14:textId="77777777" w:rsidR="00000000" w:rsidRDefault="00000000">
      <w:pPr>
        <w:autoSpaceDE w:val="0"/>
        <w:autoSpaceDN w:val="0"/>
        <w:adjustRightInd w:val="0"/>
        <w:spacing w:after="0" w:line="240" w:lineRule="auto"/>
        <w:jc w:val="both"/>
        <w:rPr>
          <w:rFonts w:ascii="Verdana" w:hAnsi="Verdana" w:cs="Times New Roman"/>
          <w:sz w:val="20"/>
          <w:szCs w:val="24"/>
          <w:u w:val="single"/>
        </w:rPr>
      </w:pPr>
    </w:p>
    <w:p w14:paraId="1952E341"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1.</w:t>
      </w:r>
      <w:r>
        <w:rPr>
          <w:rFonts w:ascii="Verdana" w:hAnsi="Verdana" w:cs="Times New Roman"/>
          <w:sz w:val="20"/>
          <w:szCs w:val="24"/>
        </w:rPr>
        <w:t xml:space="preserve"> Critère </w:t>
      </w:r>
      <w:r>
        <w:rPr>
          <w:rFonts w:ascii="Verdana" w:hAnsi="Verdana" w:cs="Times New Roman"/>
          <w:b/>
          <w:sz w:val="20"/>
          <w:szCs w:val="24"/>
        </w:rPr>
        <w:t>Prix</w:t>
      </w:r>
      <w:r>
        <w:rPr>
          <w:rFonts w:ascii="Verdana" w:hAnsi="Verdana" w:cs="Times New Roman"/>
          <w:sz w:val="20"/>
          <w:szCs w:val="24"/>
        </w:rPr>
        <w:t xml:space="preserve"> </w:t>
      </w:r>
    </w:p>
    <w:p w14:paraId="1BE4E5EB"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Précisions sur le critère : Critère Prix pondéré à 60 sur 100 points.</w:t>
      </w:r>
    </w:p>
    <w:p w14:paraId="37552FC7"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notation du critère sera effectuée suivant la formule suivante : offre la moins disante / offre du candidat x 60</w:t>
      </w:r>
    </w:p>
    <w:p w14:paraId="5A16C31A"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Apprécié au vu des informations suivantes : Offre financière de chaque candidat</w:t>
      </w:r>
    </w:p>
    <w:p w14:paraId="3647A62C"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75BEA4C5"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2DC42203"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2.</w:t>
      </w:r>
      <w:r>
        <w:rPr>
          <w:rFonts w:ascii="Verdana" w:hAnsi="Verdana" w:cs="Times New Roman"/>
          <w:sz w:val="20"/>
          <w:szCs w:val="24"/>
        </w:rPr>
        <w:t xml:space="preserve"> Critère </w:t>
      </w:r>
      <w:r>
        <w:rPr>
          <w:rFonts w:ascii="Verdana" w:hAnsi="Verdana" w:cs="Times New Roman"/>
          <w:b/>
          <w:sz w:val="20"/>
          <w:szCs w:val="24"/>
        </w:rPr>
        <w:t>Valeur technique</w:t>
      </w:r>
      <w:r>
        <w:rPr>
          <w:rFonts w:ascii="Verdana" w:hAnsi="Verdana" w:cs="Times New Roman"/>
          <w:sz w:val="20"/>
          <w:szCs w:val="24"/>
        </w:rPr>
        <w:t xml:space="preserve"> </w:t>
      </w:r>
    </w:p>
    <w:p w14:paraId="58599E16"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Précisions sur le critère : Le critère Technique sera apprécié au regard d'un mémoire technique décrivant les prestations de maitrise d'œuvre et autres services proposés ainsi que toutes précisions qui permettront d'évaluer leur qualité.</w:t>
      </w:r>
    </w:p>
    <w:p w14:paraId="01129966"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Une note sur 10 sera attribuée à chaque candidat sur la valeur technique : note attribuée / 10 x 40 avec le barème suivant :</w:t>
      </w:r>
    </w:p>
    <w:p w14:paraId="419384A5"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53547653"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Très Bon ou Idéal : 10 ou 9</w:t>
      </w:r>
    </w:p>
    <w:p w14:paraId="6A4C1EEC"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 Bon : 8 ou 7 </w:t>
      </w:r>
    </w:p>
    <w:p w14:paraId="054B3C99"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 Moyen : 6 ou 5 </w:t>
      </w:r>
    </w:p>
    <w:p w14:paraId="32606C89"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 Insuffisant : 4 ou 3 </w:t>
      </w:r>
    </w:p>
    <w:p w14:paraId="38308B07"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Très insuffisant : 2 ou 1</w:t>
      </w:r>
    </w:p>
    <w:p w14:paraId="39525B6B"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Absence de mémoire ou Nul : 0</w:t>
      </w:r>
    </w:p>
    <w:p w14:paraId="2789E37A"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Apprécié au vu des informations suivantes : Critere Valeur Technique Fourniture et Service pondéré à 40 sur 100 points.</w:t>
      </w:r>
      <w:bookmarkStart w:id="2" w:name="PRESENTATION"/>
      <w:bookmarkEnd w:id="2"/>
    </w:p>
    <w:p w14:paraId="6FE87D5C"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19 – Contenu des offres</w:t>
      </w:r>
    </w:p>
    <w:p w14:paraId="451E1B8C"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Chaque candidat aura à produire un dossier complet comprenant les pièces suivantes :</w:t>
      </w:r>
    </w:p>
    <w:p w14:paraId="2F139DB5" w14:textId="77777777" w:rsidR="00000000" w:rsidRDefault="00000000" w:rsidP="00733EA6">
      <w:pPr>
        <w:numPr>
          <w:ilvl w:val="0"/>
          <w:numId w:val="1"/>
        </w:numPr>
        <w:autoSpaceDE w:val="0"/>
        <w:autoSpaceDN w:val="0"/>
        <w:adjustRightInd w:val="0"/>
        <w:spacing w:before="100" w:after="100" w:line="240" w:lineRule="auto"/>
        <w:ind w:left="580" w:hanging="250"/>
        <w:rPr>
          <w:rFonts w:ascii="Verdana" w:hAnsi="Verdana" w:cs="Times New Roman"/>
          <w:sz w:val="20"/>
          <w:szCs w:val="24"/>
        </w:rPr>
      </w:pPr>
      <w:r>
        <w:rPr>
          <w:rFonts w:ascii="Verdana" w:hAnsi="Verdana" w:cs="Times New Roman"/>
          <w:sz w:val="20"/>
          <w:szCs w:val="24"/>
        </w:rPr>
        <w:t>Un acte d'engagement et ses éventuelles annexes, complété , daté par le candidat .Les candidats sont tenus de libeller leurs offres en euros.</w:t>
      </w:r>
    </w:p>
    <w:p w14:paraId="1E95E60C" w14:textId="77777777" w:rsidR="00000000" w:rsidRDefault="00000000" w:rsidP="00733EA6">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 xml:space="preserve">Un mémoire justificatif tel que : </w:t>
      </w:r>
    </w:p>
    <w:p w14:paraId="77A72429" w14:textId="77777777" w:rsidR="00000000" w:rsidRDefault="00000000" w:rsidP="00733EA6">
      <w:pPr>
        <w:numPr>
          <w:ilvl w:val="0"/>
          <w:numId w:val="2"/>
        </w:numPr>
        <w:autoSpaceDE w:val="0"/>
        <w:autoSpaceDN w:val="0"/>
        <w:adjustRightInd w:val="0"/>
        <w:spacing w:after="0" w:line="240" w:lineRule="auto"/>
        <w:ind w:left="1160" w:hanging="250"/>
        <w:rPr>
          <w:rFonts w:ascii="Verdana" w:hAnsi="Verdana" w:cs="Times New Roman"/>
          <w:sz w:val="20"/>
          <w:szCs w:val="24"/>
        </w:rPr>
      </w:pPr>
      <w:r>
        <w:rPr>
          <w:rFonts w:ascii="Verdana" w:hAnsi="Verdana" w:cs="Times New Roman"/>
          <w:sz w:val="20"/>
          <w:szCs w:val="24"/>
        </w:rPr>
        <w:t>Le mémoire justificatif devra présenter et décrire les différentes phases de la maitrise d'œuvre ainsi que tous renseignement afférents à cette prestation intellectuelle.</w:t>
      </w:r>
    </w:p>
    <w:p w14:paraId="622335E0" w14:textId="77777777" w:rsidR="00000000" w:rsidRDefault="00000000" w:rsidP="00733EA6">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Le programme de l'opération .</w:t>
      </w:r>
    </w:p>
    <w:p w14:paraId="6469AB41" w14:textId="77777777" w:rsidR="00733EA6" w:rsidRDefault="00733EA6" w:rsidP="00733EA6">
      <w:pPr>
        <w:autoSpaceDE w:val="0"/>
        <w:autoSpaceDN w:val="0"/>
        <w:adjustRightInd w:val="0"/>
        <w:spacing w:after="0" w:line="240" w:lineRule="auto"/>
        <w:rPr>
          <w:rFonts w:ascii="Verdana" w:hAnsi="Verdana" w:cs="Times New Roman"/>
          <w:sz w:val="20"/>
          <w:szCs w:val="24"/>
        </w:rPr>
      </w:pPr>
    </w:p>
    <w:p w14:paraId="7BD6AB50"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lastRenderedPageBreak/>
        <w:t>Article 20 – Délai de validité des offres</w:t>
      </w:r>
    </w:p>
    <w:p w14:paraId="75770D3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délai de validité des offres est de 90 jours.</w:t>
      </w:r>
    </w:p>
    <w:p w14:paraId="73426884"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21 – Cohérence de l'offre</w:t>
      </w:r>
    </w:p>
    <w:p w14:paraId="55B08E0E"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En cas de discordance entre les différentes indications du prix global forfaitaire figurant dans l'offre d'un candidat, l'indication en lettres, toutes taxes comprises, figurant à l'article Prix (à compléter par le candidat), prévaudra sur toutes les autres indications.</w:t>
      </w:r>
    </w:p>
    <w:p w14:paraId="7146A3E5"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En cas de discordance entre la décomposition du prix global forfaitaire et l'acte d'engagement, ou en cas d'anomalies, d'erreurs ou d'omissions internes à la décomposition du prix global forfaitaire, le candidat, s'il est sur le point d'être retenu, sera invité à rectifier cette décomposition pour la mettre en harmonie avec le prix global forfaitaire. En cas de refus, son offre sera éliminée comme non cohérente.</w:t>
      </w:r>
    </w:p>
    <w:p w14:paraId="3E0A8F36"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22 – Nature des communications et échanges d'informations avec les candidats</w:t>
      </w:r>
    </w:p>
    <w:p w14:paraId="3624F0BF"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communications et les échanges d'informations, dont l'envoi des candidatures et des offres liés à la présente consultation sont effectués uniquement par voie électronique, conformément à la réglementation.</w:t>
      </w:r>
    </w:p>
    <w:p w14:paraId="423498F7"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candidats ne peuvent pas recourir à des modes différenciés de transmission pour la candidature et pour l'offre.</w:t>
      </w:r>
    </w:p>
    <w:p w14:paraId="76DD23CE"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23 – Conditions générales d'envoi ou de remise des candidatures et des offres</w:t>
      </w:r>
    </w:p>
    <w:p w14:paraId="1CB37B2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candidatures ou offres sont transmises en une seule fois. Si plusieurs candidatures ou offres sont adressées ou transmises successivement par un même candidat, seule la dernière reçue dans le délai fixé pour la remise des candidatures ou offres sera ouverte.</w:t>
      </w:r>
    </w:p>
    <w:p w14:paraId="2C87DDBC"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candidatures ou offres peuvent être adressées ou remises dans les conditions suivantes :</w:t>
      </w:r>
    </w:p>
    <w:p w14:paraId="73523DF9" w14:textId="77777777" w:rsidR="00000000" w:rsidRDefault="00000000" w:rsidP="00733EA6">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b/>
          <w:sz w:val="20"/>
          <w:szCs w:val="24"/>
        </w:rPr>
        <w:t>Par transmission électronique</w:t>
      </w:r>
      <w:r>
        <w:rPr>
          <w:rFonts w:ascii="Verdana" w:hAnsi="Verdana" w:cs="Times New Roman"/>
          <w:sz w:val="20"/>
          <w:szCs w:val="24"/>
        </w:rPr>
        <w:t xml:space="preserve"> </w:t>
      </w:r>
    </w:p>
    <w:p w14:paraId="35208101" w14:textId="77777777" w:rsidR="00000000" w:rsidRDefault="00000000" w:rsidP="00733EA6">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La présentation sur un support physique électronique n'est pas autorisée.</w:t>
      </w:r>
    </w:p>
    <w:p w14:paraId="3B01CD78" w14:textId="77777777" w:rsidR="00000000" w:rsidRDefault="00000000" w:rsidP="00733EA6">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L'envoi par voie postale n'est pas autorisé.</w:t>
      </w:r>
    </w:p>
    <w:p w14:paraId="4F3440B8" w14:textId="77777777" w:rsidR="00000000" w:rsidRDefault="00000000" w:rsidP="00733EA6">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La remise contre récépissé n'est pas autorisée.</w:t>
      </w:r>
    </w:p>
    <w:p w14:paraId="22A3C1AA"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w:t>
      </w:r>
    </w:p>
    <w:p w14:paraId="7F496308"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Les offres devront parvenir à destination avant le 09/07/2026 à 15:00.</w:t>
      </w:r>
    </w:p>
    <w:p w14:paraId="3D6926AA"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24 – Conditions d'envoi par transmission électronique</w:t>
      </w:r>
    </w:p>
    <w:p w14:paraId="05FD0BDF"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documents relatifs à la candidature et les actes d'engagement transmis par voie électronique seront signés par le candidat selon les modalités prévues par arrêté du ministre chargé de l'économie.</w:t>
      </w:r>
    </w:p>
    <w:p w14:paraId="57BD21C2"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25- Signature des documents transmis par le candidat</w:t>
      </w:r>
    </w:p>
    <w:p w14:paraId="0DC4EEB7"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L'acheteur exige que les opérateurs économiques signent électroniquement le DC1,DC2 ou le DUME..</w:t>
      </w:r>
    </w:p>
    <w:p w14:paraId="570690C9"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Il est exigé des candidats que l'acte d'engagement soit signé(e) électroniquement dès le stade de la réception des offres. L'absence de signature électronique entraine l'irrégularité de l'offre.</w:t>
      </w:r>
    </w:p>
    <w:p w14:paraId="31ED529A"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En cas de groupement l'acte d'engagement sera signé(e) par chaque membre du groupement ou par le mandataire dument habilité par un document d'habilitation (copie de la convention de groupement ou acte spécifique d'habilitation).</w:t>
      </w:r>
    </w:p>
    <w:p w14:paraId="7886A0C7"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Ce document d'habilitation devra être fourni, signé de façon électronique par les autres membres du groupement, dès le stade de la réception des candidatures.</w:t>
      </w:r>
    </w:p>
    <w:p w14:paraId="5FD2F365"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L'obligation de signature électronique se fait conformément aux conditions fixées par l'arrêté du 22 mars 2019 relatif à la signature électronique des contrats de la commande publique.</w:t>
      </w:r>
    </w:p>
    <w:p w14:paraId="3AD04255"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lastRenderedPageBreak/>
        <w:t>Les formats de signature acceptés sont les formats XAdES, PAdES, CAdES. La signature électronique doit être une signature électronique au minimum avancée reposant sur un certificat qualifié conforme au règlement eIDAS. Toutefois, les certificats qualifiés de signature électronique délivrés en application du RGS restent valables jusqu'à leur expiration.</w:t>
      </w:r>
    </w:p>
    <w:p w14:paraId="628D8C25"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L'attention des candidats est attirée sur le fait que la signature numérisée (numérisation d'un document papier avec signature manuscrite) n'a pas la valeur d'une signature électronique. La signature numérisée n'est admissible que pour les documents qui ne sont pas produits et signés par les candidats eux-mêmes.</w:t>
      </w:r>
    </w:p>
    <w:p w14:paraId="6B465C67"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documents de la copie de sauvegarde sont soumis aux mêmes obligations de signature que ceux transmis par voie électronique. Si la copie de sauvegarde est présentée au moyen d'un support papier, la signature est manuscrite. Si le support est de nature électronique, la signature est électronique.</w:t>
      </w:r>
    </w:p>
    <w:p w14:paraId="0553CA04"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26- Dispositions relatives à la copie de sauvegarde</w:t>
      </w:r>
    </w:p>
    <w:p w14:paraId="7A79B2D2"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Candidatures et offres électroniques peuvent être doublées d'une copie de sauvegarde. Les documents de la copie de sauvegarde sont soumis aux mêmes obligations que ceux transmis par voie électronique : ils doivent être signés si la signature est requise..</w:t>
      </w:r>
    </w:p>
    <w:p w14:paraId="29CE2B69"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L'acheteur autorise les copies de sauvegarde sous forme de support physique électronique ou sous forme papier.</w:t>
      </w:r>
    </w:p>
    <w:p w14:paraId="65641E3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Formats autorisés en matière de support physique électronique: CD-Rom, DVD-ROM, clé USB..</w:t>
      </w:r>
    </w:p>
    <w:p w14:paraId="4CE7A089"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Conditions d'envoi de la copie de sauvegarde:</w:t>
      </w:r>
      <w:r>
        <w:rPr>
          <w:rFonts w:ascii="Verdana" w:hAnsi="Verdana" w:cs="Times New Roman"/>
          <w:sz w:val="20"/>
          <w:szCs w:val="24"/>
        </w:rPr>
        <w:t xml:space="preserve"> </w:t>
      </w:r>
    </w:p>
    <w:p w14:paraId="6D0673F8"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Cette copie est transmise sous pli par voie postale ou par dépôt chez l'acheteur dans les délais impartis pour la remise des candidatures ou des offres. Ce pli, fermé, doit mentionner « copie de sauvegarde » de manière claire et lisible, porter également le nom de l'opérateur économique candidat, l'identification de la procédure et l'éventuel lot concerné. La copie de sauvegarde ne peut être commune à l'ensemble des lots pour lesquels candidate éventuellement l'opérateur économique.</w:t>
      </w:r>
    </w:p>
    <w:p w14:paraId="2B9BE6E2"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Conditions d'ouverture de la copie de sauvegarde:</w:t>
      </w:r>
      <w:r>
        <w:rPr>
          <w:rFonts w:ascii="Verdana" w:hAnsi="Verdana" w:cs="Times New Roman"/>
          <w:sz w:val="20"/>
          <w:szCs w:val="24"/>
        </w:rPr>
        <w:t xml:space="preserve"> </w:t>
      </w:r>
    </w:p>
    <w:p w14:paraId="16F53443"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copie de sauvegarde ne peut être ouverte par l'acheteur que dans les cas qui suivent : lorsqu'un programme informatique malveillant est détecté dans les candidatures ou les offres transmises par voie électronique. La trace de cette malveillance est conservée. Lorsqu'une candidature ou une offre électronique est reçue de façon incomplète, hors délais ou n'a pu être ouverte, sous réserve que la transmission de la candidature ou de l'offre électronique ait commencé avant la clôture de la remise des candidatures ou des offres. Lorsque la copie de sauvegarde n'est pas ouverte par l'acheteur, elle est détruite dès l'éventuel rejet de la candidature ou à l'issue de la procédure</w:t>
      </w:r>
    </w:p>
    <w:p w14:paraId="57E29EBE"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27- Assistance aux candidats et échanges d'informations</w:t>
      </w:r>
    </w:p>
    <w:p w14:paraId="2BF0C5E7"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candidats sont invités à vérifier préalablement les prérequis techniques du profil acheteur et à choisir une adresse mail durable pendant toute la durée de la procédure.</w:t>
      </w:r>
    </w:p>
    <w:p w14:paraId="4EE4F17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Au cours de la consultation et en cas :</w:t>
      </w:r>
    </w:p>
    <w:p w14:paraId="400FD45E"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3A530333"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D'anomalie(s) détectée(s) et/ou d'incohérence(s) entre les pièces du dossier de la consultation (DCE) qui rendraient potentiellement difficile, l'exécution du marché ;</w:t>
      </w:r>
    </w:p>
    <w:p w14:paraId="1DAE8855"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4BB0DF53"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Ou d'informations manquantes et nécessaires à la détermination du contenu de son offre.</w:t>
      </w:r>
    </w:p>
    <w:p w14:paraId="5B7440B4"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15E31328"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Il appartient aux candidats de prévenir la commune de Saint-Cyprien, durant la période de consultation des problèmes en l'interrogeant via le profil acheteur indiqué ci-dessous, et selon les modalités définies au Règlement de la consultation.</w:t>
      </w:r>
    </w:p>
    <w:p w14:paraId="4362B03C"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3C0FCB4F"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dossier de consultation des entreprises est disponible gratuitement à l'adresse électronique suivante : www.marches-securises.fr.</w:t>
      </w:r>
    </w:p>
    <w:p w14:paraId="44F7638D"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61B2E77F"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En cas de difficulté quant au téléchargement du DCE, le candidat est invité à se rapprocher de la hotline de la société ATLINE , au 04 92 90 93 27, ou en envoyant un courriel à l'dresse que voici : technique@atline.fr</w:t>
      </w:r>
    </w:p>
    <w:p w14:paraId="2767D3B9"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signature électronique est exigée dès le dépôt de l'offre si le candidat n'en possède pas encore une, il est conseillé de se renseigner auprès de la société ATLINE pour pouvoir donner un mandat de signature électronique.</w:t>
      </w:r>
    </w:p>
    <w:p w14:paraId="553218DA"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Aucune demande d'envoi du dossier sur support physique électronique n'est autorisée..</w:t>
      </w:r>
    </w:p>
    <w:p w14:paraId="7DF04952"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questions des candidats ainsi que les réponses apportées par le pouvoir adjudicateur mais aussi les échanges éventuels en cours d'examen des candidatures et des offres, comme les demandes de pièces complémentaires ou de précisions sur l'offre, l'éventuelle demande de régularisation ou les négociations et même les notifications des décisions (lettre de rejet, etc..) sont opérés par voie électronique au moyen du profil d'acheteur.</w:t>
      </w:r>
    </w:p>
    <w:p w14:paraId="0639BEBC"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28 – Demande de renseignements</w:t>
      </w:r>
    </w:p>
    <w:p w14:paraId="7056F428"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Pour obtenir tous les renseignements complémentaires qui leur seraient nécessaires au cours de leur étude, les candidats devront faire parvenir une demande au moyen du profil d'acheteur au plus tard 6 jours avant la date limite de réception des plis.</w:t>
      </w:r>
    </w:p>
    <w:p w14:paraId="52E195C5" w14:textId="77777777" w:rsidR="00000000" w:rsidRDefault="00000000" w:rsidP="00733EA6">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pour les renseignements d'ordre administratif et technique :</w:t>
      </w:r>
    </w:p>
    <w:p w14:paraId="333B8E7E"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w:t>
      </w:r>
    </w:p>
    <w:p w14:paraId="0ED64F25"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Port de Saint-Cyprien</w:t>
      </w:r>
    </w:p>
    <w:p w14:paraId="4EA6E9F9"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Correspondant : M. le Président</w:t>
      </w:r>
    </w:p>
    <w:p w14:paraId="746AE3C0"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Adresse : Port de Saint-Cyprien</w:t>
      </w:r>
    </w:p>
    <w:p w14:paraId="43B024FA"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Quai Arthur Rimbaud</w:t>
      </w:r>
    </w:p>
    <w:p w14:paraId="578757C5"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Capitainerie</w:t>
      </w:r>
    </w:p>
    <w:p w14:paraId="7E3F0F4F"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66750 Saint-Cyprien</w:t>
      </w:r>
    </w:p>
    <w:p w14:paraId="543B355F"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Tél : 0468210798</w:t>
      </w:r>
    </w:p>
    <w:p w14:paraId="7E7B5819"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Courriel : contact@port-st-cyprien.com</w:t>
      </w:r>
    </w:p>
    <w:p w14:paraId="5CEFA813"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Adresse Internet : https://www.port-st-cyprien.com/</w:t>
      </w:r>
    </w:p>
    <w:p w14:paraId="710FB771"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29 – Visite sur site</w:t>
      </w:r>
    </w:p>
    <w:p w14:paraId="02FD626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Une visite du site est conseillée.</w:t>
      </w:r>
    </w:p>
    <w:p w14:paraId="4DB43F0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Contact doit être pris avec M. Sylvain Bernard</w:t>
      </w:r>
    </w:p>
    <w:p w14:paraId="16E24823"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Maitre de Port </w:t>
      </w:r>
    </w:p>
    <w:p w14:paraId="01F61C5E"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Tel : 04.68.21.07.98</w:t>
      </w:r>
    </w:p>
    <w:p w14:paraId="59AAF7B9"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30 – Phase de négociation</w:t>
      </w:r>
    </w:p>
    <w:p w14:paraId="0EEE492E"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Après réception et examen des offres, une phase de négociation sera engagée avec tous les candidats.</w:t>
      </w:r>
    </w:p>
    <w:p w14:paraId="667A3370"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offres irrégulières ou inacceptables seront admises à la négociation. Néanmoins, les offres irrégulières ou inacceptables ne pourront être retenues que si elles deviennent régulières ou acceptables suite aux négociations. A l'issue de la négociation, un classement sera effectué.</w:t>
      </w:r>
    </w:p>
    <w:p w14:paraId="791445B2"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négociations pourront porter sur les prix et l'offre technique des candidats</w:t>
      </w:r>
    </w:p>
    <w:p w14:paraId="19C2C117"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L'acheteur se réserve cependant le droit d'attribuer le marché sur la base des offres initiales sans mener de négociations.</w:t>
      </w:r>
    </w:p>
    <w:p w14:paraId="5F7659E8"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31 – Infructuosité</w:t>
      </w:r>
    </w:p>
    <w:p w14:paraId="5A640F38"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En cas d'infructuosité, le pouvoir adjudicateur après en avoir informé les candidats éventuels, peut relancer une consultation avec publicité et mise en concurrence sous forme de procédure adaptée ou passer un marché sans publicité ni remise en concurrence en cas de situation visée par l'article R.2122-2 du Code de la Commande Publique.</w:t>
      </w:r>
    </w:p>
    <w:p w14:paraId="4BA8AD70"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 xml:space="preserve">Article 32 – Délais et voies de recours </w:t>
      </w:r>
    </w:p>
    <w:p w14:paraId="21127037"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1 / Référé précontractuel (article L.551-1 du code de justice administrative)</w:t>
      </w:r>
    </w:p>
    <w:p w14:paraId="5B67AF3E"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lastRenderedPageBreak/>
        <w:t>2 / Recours pour excès de pouvoir (article R.421-1 et suivants du code de justice administrative)</w:t>
      </w:r>
    </w:p>
    <w:p w14:paraId="33BABF62"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3 / Référé-suspension (article L.521-1 du code de justice administrative)</w:t>
      </w:r>
    </w:p>
    <w:p w14:paraId="1E4CCE9F"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4 / Référé-liberté (article L.521-2 du code de justice administrative)</w:t>
      </w:r>
    </w:p>
    <w:p w14:paraId="039F7033"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5 / Demande de déféré préfectoral (article L.2131-8 du code général des collectivités territoriales)</w:t>
      </w:r>
    </w:p>
    <w:p w14:paraId="169FFE1E"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6 / Recours dans le délai de deux mois à compter de l'accomplissement des mesures de publicité appropriées</w:t>
      </w:r>
    </w:p>
    <w:p w14:paraId="12E4711C"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(du fait de la jurisprudence du CE Société Tropic Travaux de signalisation du 16/07/2007).</w:t>
      </w:r>
    </w:p>
    <w:p w14:paraId="60D3F917"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7 / Référé contractuel (article L551-13 du code de justice administrative)</w:t>
      </w:r>
    </w:p>
    <w:p w14:paraId="3F07D0DB"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8 / Recours auprès de la Commission Européenne visant à introduire un recours en manquement contre un Etat membre auprès de la Cour de Justice de l'Union Européenne</w:t>
      </w:r>
    </w:p>
    <w:p w14:paraId="29E431CF"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9 / Recours indemnitaire (art R421-1 et suivants du code de justice administrative)</w:t>
      </w:r>
    </w:p>
    <w:p w14:paraId="32579A48"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10 / Déféré préfectoral (article L 2131-6 du code général des collectivités territoriales)</w:t>
      </w:r>
    </w:p>
    <w:p w14:paraId="65C68BF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11 / Demande de déféré préfectoral (article L 2131-8 du C.G.C.T.)</w:t>
      </w:r>
    </w:p>
    <w:p w14:paraId="0CF3FAA4"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33 – Vérification de la situation de l'attributaire envisagé au regard des interdictions de soumissionner obligatoires, documents à produire et signature de l'offre</w:t>
      </w:r>
    </w:p>
    <w:p w14:paraId="06E327BE"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L'acheteur accepte comme preuve suffisante que le candidat ne se trouve pas dans un des cas d'interdiction de soumissionner visés aux articles L2141-1 à L2141-5 du code de la commande publique, les documents justificatifs suivants :</w:t>
      </w:r>
    </w:p>
    <w:p w14:paraId="53786669" w14:textId="77777777" w:rsidR="00000000" w:rsidRDefault="00000000" w:rsidP="00733EA6">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Le numéro unique d'identification de l'entreprise (SIREN ou SIRET) permettant à l'acheteur d'accéder aux informations pertinentes par le biais d'un système électronique mentionné au 1° de l'article R. 2143-13 ou, si l'entreprise est étrangère, un document délivré par l'autorité judiciaire ou administrative compétente de son pays d'origine ou d'établissement, attestant de l'absence de cas d'exclusion mentionnés à l'article L.2141-3 du Code de la Commande Publique et si le candidat est en redressement judiciaire, la copie du ou des jugements prononcés.</w:t>
      </w:r>
    </w:p>
    <w:p w14:paraId="4CFDA16F" w14:textId="77777777" w:rsidR="00000000" w:rsidRDefault="00000000" w:rsidP="00733EA6">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Déclaration sur l'honneur que le candidat ne se trouve pas dans un cas d'interdiction de soumissionner mentionné à l'article L.2141-1, L.2141-4 et L.2141-5 du code de la commande publique ou documents équivalents en cas de candidat étranger.</w:t>
      </w:r>
    </w:p>
    <w:p w14:paraId="3927109E" w14:textId="77777777" w:rsidR="00000000" w:rsidRDefault="00000000" w:rsidP="00733EA6">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Attestations et certificats délivrés par les administrations et organismes compétents attestant que le candidat ne se trouve pas dans un cas d'interdiction de soumissionner mentionné à l'article L2141-2 du code de la commande publique ou documents équivalents en cas de candidat étranger.</w:t>
      </w:r>
    </w:p>
    <w:p w14:paraId="2AB54974" w14:textId="77777777" w:rsidR="00000000" w:rsidRDefault="00000000" w:rsidP="00733EA6">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Les pièces prévues aux articles L2312-27, R. 1263-12, D. 8222-5 ou D. 8222-7 ou D. 8254-2 à D. 8254-5 du code du travail.</w:t>
      </w:r>
    </w:p>
    <w:p w14:paraId="07CFA8A2"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w:t>
      </w:r>
    </w:p>
    <w:p w14:paraId="4484F8E3"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Ces pièces seront à remettre par le candidat choisi comme attributaire du marché dans un délai de 10 jours à compter de la date de réception de la demande émise par l'acheteur.</w:t>
      </w:r>
    </w:p>
    <w:p w14:paraId="3C4CF27C"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Cependant, ces pièces n'ont pas à être remises si le candidat a fait figurer dans son dossier de candidature toutes les informations nécessaires à la consultation gratuite et en ligne par l'acheteur de ces mêmes pièces justificatives.</w:t>
      </w:r>
    </w:p>
    <w:p w14:paraId="6EFF469A" w14:textId="77777777" w:rsidR="00F90822" w:rsidRDefault="00F90822">
      <w:pPr>
        <w:autoSpaceDE w:val="0"/>
        <w:autoSpaceDN w:val="0"/>
        <w:adjustRightInd w:val="0"/>
        <w:spacing w:after="0" w:line="240" w:lineRule="auto"/>
        <w:jc w:val="both"/>
        <w:rPr>
          <w:rFonts w:ascii="Verdana" w:hAnsi="Verdana" w:cs="Times New Roman"/>
          <w:sz w:val="20"/>
          <w:szCs w:val="24"/>
        </w:rPr>
      </w:pPr>
    </w:p>
    <w:sectPr w:rsidR="00F90822" w:rsidSect="006566FC">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pgBorders w:display="firstPage" w:offsetFrom="page">
        <w:top w:val="doubleWave" w:sz="6" w:space="24" w:color="00B050"/>
        <w:left w:val="doubleWave" w:sz="6" w:space="24" w:color="00B050"/>
        <w:bottom w:val="doubleWave" w:sz="6" w:space="24" w:color="00B050"/>
        <w:right w:val="doubleWave" w:sz="6" w:space="24" w:color="00B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26423" w14:textId="77777777" w:rsidR="00F90822" w:rsidRDefault="00F90822" w:rsidP="00292E0A">
      <w:pPr>
        <w:spacing w:after="0" w:line="240" w:lineRule="auto"/>
        <w:rPr>
          <w:sz w:val="20"/>
          <w:szCs w:val="20"/>
          <w:lang w:eastAsia="fr-FR"/>
        </w:rPr>
      </w:pPr>
      <w:r>
        <w:rPr>
          <w:rFonts w:ascii="Times New Roman" w:hAnsi="Times New Roman" w:cs="Times New Roman"/>
          <w:sz w:val="24"/>
          <w:szCs w:val="24"/>
        </w:rPr>
        <w:t xml:space="preserve"> </w:t>
      </w:r>
      <w:r>
        <w:rPr>
          <w:sz w:val="20"/>
          <w:szCs w:val="20"/>
          <w:lang w:eastAsia="fr-FR"/>
        </w:rPr>
        <w:separator/>
      </w:r>
    </w:p>
  </w:endnote>
  <w:endnote w:type="continuationSeparator" w:id="0">
    <w:p w14:paraId="428C3B48" w14:textId="77777777" w:rsidR="00F90822" w:rsidRDefault="00F90822" w:rsidP="00292E0A">
      <w:pPr>
        <w:spacing w:after="0" w:line="240" w:lineRule="auto"/>
        <w:rPr>
          <w:sz w:val="20"/>
          <w:szCs w:val="20"/>
          <w:lang w:eastAsia="fr-FR"/>
        </w:rPr>
      </w:pPr>
      <w:r>
        <w:rPr>
          <w:rFonts w:ascii="Times New Roman" w:hAnsi="Times New Roman" w:cs="Times New Roman"/>
          <w:sz w:val="24"/>
          <w:szCs w:val="24"/>
        </w:rPr>
        <w:t xml:space="preserve"> </w:t>
      </w:r>
      <w:r>
        <w:rPr>
          <w:sz w:val="20"/>
          <w:szCs w:val="20"/>
          <w:lang w:eastAsia="fr-FR"/>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811" w14:textId="77777777" w:rsidR="00EE4616" w:rsidRDefault="00000000">
    <w:pPr>
      <w:tabs>
        <w:tab w:val="center" w:pos="4536"/>
        <w:tab w:val="right" w:pos="9072"/>
      </w:tabs>
      <w:spacing w:after="0" w:line="240" w:lineRule="auto"/>
      <w:rPr>
        <w:sz w:val="20"/>
        <w:szCs w:val="20"/>
        <w:lang w:eastAsia="fr-FR"/>
      </w:rPr>
    </w:pPr>
    <w:r>
      <w:rPr>
        <w:rFonts w:ascii="Times New Roman" w:hAnsi="Times New Roman" w:cs="Times New Roman"/>
        <w:sz w:val="24"/>
        <w:szCs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00D0" w14:textId="77777777" w:rsidR="00292E0A" w:rsidRDefault="00000000">
    <w:pPr>
      <w:pBdr>
        <w:top w:val="single" w:sz="6" w:space="10" w:color="5B9BD5"/>
      </w:pBdr>
      <w:tabs>
        <w:tab w:val="center" w:pos="4536"/>
        <w:tab w:val="right" w:pos="9072"/>
      </w:tabs>
      <w:spacing w:before="240" w:after="0" w:line="240" w:lineRule="auto"/>
      <w:jc w:val="center"/>
      <w:rPr>
        <w:color w:val="5B9BD5"/>
        <w:sz w:val="20"/>
        <w:szCs w:val="20"/>
        <w:lang w:eastAsia="fr-FR"/>
      </w:rPr>
    </w:pPr>
    <w:r>
      <w:rPr>
        <w:rFonts w:ascii="Times New Roman" w:hAnsi="Times New Roman" w:cs="Times New Roman"/>
        <w:sz w:val="24"/>
        <w:szCs w:val="24"/>
      </w:rPr>
      <w:t xml:space="preserve"> </w:t>
    </w:r>
    <w:r w:rsidR="00292E0A" w:rsidRPr="00292E0A">
      <w:rPr>
        <w:rFonts w:ascii="Verdana" w:hAnsi="Verdana" w:cs="Times New Roman"/>
        <w:b/>
        <w:noProof/>
        <w:sz w:val="24"/>
        <w:szCs w:val="24"/>
        <w:lang w:eastAsia="fr-FR"/>
      </w:rPr>
      <w:t>MAPA N°26MO020</w:t>
    </w:r>
  </w:p>
  <w:p w14:paraId="7A16EACC" w14:textId="77777777" w:rsidR="00292E0A" w:rsidRDefault="00000000">
    <w:pPr>
      <w:tabs>
        <w:tab w:val="center" w:pos="4536"/>
        <w:tab w:val="right" w:pos="9072"/>
      </w:tabs>
      <w:spacing w:after="0" w:line="240" w:lineRule="auto"/>
      <w:rPr>
        <w:sz w:val="20"/>
        <w:szCs w:val="20"/>
        <w:lang w:eastAsia="fr-FR"/>
      </w:rPr>
    </w:pPr>
    <w:r>
      <w:rPr>
        <w:rFonts w:ascii="Times New Roman" w:hAnsi="Times New Roman" w:cs="Times New Roman"/>
        <w:sz w:val="24"/>
        <w:szCs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7EAAF" w14:textId="77777777" w:rsidR="00EE4616" w:rsidRDefault="00000000">
    <w:pPr>
      <w:tabs>
        <w:tab w:val="center" w:pos="4536"/>
        <w:tab w:val="right" w:pos="9072"/>
      </w:tabs>
      <w:spacing w:after="0" w:line="240" w:lineRule="auto"/>
      <w:rPr>
        <w:sz w:val="20"/>
        <w:szCs w:val="20"/>
        <w:lang w:eastAsia="fr-FR"/>
      </w:rPr>
    </w:pPr>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355A7" w14:textId="77777777" w:rsidR="00F90822" w:rsidRDefault="00F90822" w:rsidP="00292E0A">
      <w:pPr>
        <w:spacing w:after="0" w:line="240" w:lineRule="auto"/>
        <w:rPr>
          <w:sz w:val="20"/>
          <w:szCs w:val="20"/>
          <w:lang w:eastAsia="fr-FR"/>
        </w:rPr>
      </w:pPr>
      <w:r>
        <w:rPr>
          <w:rFonts w:ascii="Times New Roman" w:hAnsi="Times New Roman" w:cs="Times New Roman"/>
          <w:sz w:val="24"/>
          <w:szCs w:val="24"/>
        </w:rPr>
        <w:t xml:space="preserve"> </w:t>
      </w:r>
      <w:r>
        <w:rPr>
          <w:sz w:val="20"/>
          <w:szCs w:val="20"/>
          <w:lang w:eastAsia="fr-FR"/>
        </w:rPr>
        <w:separator/>
      </w:r>
    </w:p>
  </w:footnote>
  <w:footnote w:type="continuationSeparator" w:id="0">
    <w:p w14:paraId="43BCB378" w14:textId="77777777" w:rsidR="00F90822" w:rsidRDefault="00F90822" w:rsidP="00292E0A">
      <w:pPr>
        <w:spacing w:after="0" w:line="240" w:lineRule="auto"/>
        <w:rPr>
          <w:sz w:val="20"/>
          <w:szCs w:val="20"/>
          <w:lang w:eastAsia="fr-FR"/>
        </w:rPr>
      </w:pPr>
      <w:r>
        <w:rPr>
          <w:rFonts w:ascii="Times New Roman" w:hAnsi="Times New Roman" w:cs="Times New Roman"/>
          <w:sz w:val="24"/>
          <w:szCs w:val="24"/>
        </w:rPr>
        <w:t xml:space="preserve"> </w:t>
      </w:r>
      <w:r>
        <w:rPr>
          <w:sz w:val="20"/>
          <w:szCs w:val="20"/>
          <w:lang w:eastAsia="fr-FR"/>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BB471" w14:textId="77777777" w:rsidR="00EE4616" w:rsidRDefault="00000000">
    <w:pPr>
      <w:tabs>
        <w:tab w:val="center" w:pos="4536"/>
        <w:tab w:val="right" w:pos="9072"/>
      </w:tabs>
      <w:spacing w:after="0" w:line="240" w:lineRule="auto"/>
      <w:rPr>
        <w:sz w:val="20"/>
        <w:szCs w:val="20"/>
        <w:lang w:eastAsia="fr-FR"/>
      </w:rPr>
    </w:pPr>
    <w:r>
      <w:rPr>
        <w:rFonts w:ascii="Times New Roman" w:hAnsi="Times New Roman" w:cs="Times New Roman"/>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0E9F6" w14:textId="77777777" w:rsidR="00EE4616" w:rsidRDefault="00000000">
    <w:pPr>
      <w:tabs>
        <w:tab w:val="center" w:pos="4536"/>
        <w:tab w:val="right" w:pos="9072"/>
      </w:tabs>
      <w:spacing w:after="0" w:line="240" w:lineRule="auto"/>
      <w:jc w:val="right"/>
      <w:rPr>
        <w:sz w:val="20"/>
        <w:szCs w:val="20"/>
        <w:lang w:eastAsia="fr-FR"/>
      </w:rPr>
    </w:pPr>
    <w:r>
      <w:rPr>
        <w:rFonts w:ascii="Times New Roman" w:hAnsi="Times New Roman" w:cs="Times New Roman"/>
        <w:sz w:val="24"/>
        <w:szCs w:val="24"/>
      </w:rPr>
      <w:t xml:space="preserve"> </w:t>
    </w:r>
    <w:r w:rsidR="00EE4616">
      <w:rPr>
        <w:sz w:val="20"/>
        <w:szCs w:val="20"/>
        <w:lang w:eastAsia="fr-FR"/>
      </w:rPr>
      <w:fldChar w:fldCharType="begin"/>
    </w:r>
    <w:r w:rsidR="00EE4616">
      <w:rPr>
        <w:sz w:val="20"/>
        <w:szCs w:val="20"/>
        <w:lang w:eastAsia="fr-FR"/>
      </w:rPr>
      <w:instrText>PAGE   \* MERGEFORMAT</w:instrText>
    </w:r>
    <w:r w:rsidR="00EE4616">
      <w:rPr>
        <w:sz w:val="20"/>
        <w:szCs w:val="20"/>
        <w:lang w:eastAsia="fr-FR"/>
      </w:rPr>
      <w:fldChar w:fldCharType="separate"/>
    </w:r>
    <w:r w:rsidR="00EE4616">
      <w:rPr>
        <w:noProof/>
        <w:sz w:val="20"/>
        <w:szCs w:val="20"/>
        <w:lang w:eastAsia="fr-FR"/>
      </w:rPr>
      <w:t>1</w:t>
    </w:r>
    <w:r w:rsidR="00EE4616">
      <w:rPr>
        <w:sz w:val="20"/>
        <w:szCs w:val="20"/>
        <w:lang w:eastAsia="fr-FR"/>
      </w:rPr>
      <w:fldChar w:fldCharType="end"/>
    </w:r>
  </w:p>
  <w:p w14:paraId="6B1C48B9" w14:textId="77777777" w:rsidR="00EE4616" w:rsidRDefault="00EE4616">
    <w:pPr>
      <w:tabs>
        <w:tab w:val="center" w:pos="4536"/>
        <w:tab w:val="right" w:pos="9072"/>
      </w:tabs>
      <w:spacing w:after="0" w:line="240" w:lineRule="auto"/>
      <w:rPr>
        <w:sz w:val="20"/>
        <w:szCs w:val="20"/>
        <w:lang w:eastAsia="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8FEA2" w14:textId="77777777" w:rsidR="00EE4616" w:rsidRDefault="00000000">
    <w:pPr>
      <w:tabs>
        <w:tab w:val="center" w:pos="4536"/>
        <w:tab w:val="right" w:pos="9072"/>
      </w:tabs>
      <w:spacing w:after="0" w:line="240" w:lineRule="auto"/>
      <w:rPr>
        <w:sz w:val="20"/>
        <w:szCs w:val="20"/>
        <w:lang w:eastAsia="fr-FR"/>
      </w:rPr>
    </w:pPr>
    <w:r>
      <w:rPr>
        <w:rFonts w:ascii="Times New Roman" w:hAnsi="Times New Roman" w:cs="Times New Roman"/>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CF04754"/>
    <w:lvl w:ilvl="0">
      <w:numFmt w:val="bullet"/>
      <w:lvlText w:val="*"/>
      <w:lvlJc w:val="left"/>
    </w:lvl>
  </w:abstractNum>
  <w:num w:numId="1" w16cid:durableId="1848590929">
    <w:abstractNumId w:val="0"/>
    <w:lvlOverride w:ilvl="0">
      <w:lvl w:ilvl="0">
        <w:numFmt w:val="bullet"/>
        <w:lvlText w:val=""/>
        <w:legacy w:legacy="1" w:legacySpace="0" w:legacyIndent="0"/>
        <w:lvlJc w:val="left"/>
        <w:rPr>
          <w:rFonts w:ascii="Symbol" w:hAnsi="Symbol" w:hint="default"/>
        </w:rPr>
      </w:lvl>
    </w:lvlOverride>
  </w:num>
  <w:num w:numId="2" w16cid:durableId="1805612039">
    <w:abstractNumId w:val="0"/>
    <w:lvlOverride w:ilvl="0">
      <w:lvl w:ilvl="0">
        <w:numFmt w:val="bullet"/>
        <w:lvlText w:val=""/>
        <w:legacy w:legacy="1" w:legacySpace="0" w:legacyIndent="0"/>
        <w:lvlJc w:val="left"/>
        <w:rPr>
          <w:rFonts w:ascii="Wingdings" w:hAnsi="Wingding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19C"/>
    <w:rsid w:val="00047F1E"/>
    <w:rsid w:val="00226858"/>
    <w:rsid w:val="0028119C"/>
    <w:rsid w:val="00292E0A"/>
    <w:rsid w:val="00297607"/>
    <w:rsid w:val="00361117"/>
    <w:rsid w:val="00390DBC"/>
    <w:rsid w:val="003A32DB"/>
    <w:rsid w:val="003C28B8"/>
    <w:rsid w:val="003E5904"/>
    <w:rsid w:val="004D1FE5"/>
    <w:rsid w:val="005D7400"/>
    <w:rsid w:val="006566FC"/>
    <w:rsid w:val="006B3055"/>
    <w:rsid w:val="00733EA6"/>
    <w:rsid w:val="008143E4"/>
    <w:rsid w:val="008B193B"/>
    <w:rsid w:val="00A5122E"/>
    <w:rsid w:val="00BF0990"/>
    <w:rsid w:val="00D34AB2"/>
    <w:rsid w:val="00E12965"/>
    <w:rsid w:val="00EB5BCD"/>
    <w:rsid w:val="00EE4616"/>
    <w:rsid w:val="00F90822"/>
    <w:rsid w:val="00FA7F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E6C8BA"/>
  <w14:defaultImageDpi w14:val="0"/>
  <w15:docId w15:val="{B46EDA83-61F9-4538-9D71-92D551AC2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B0F27-300B-4CC7-9E01-18729D12C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4220</Words>
  <Characters>23214</Characters>
  <Application>Microsoft Office Word</Application>
  <DocSecurity>0</DocSecurity>
  <Lines>193</Lines>
  <Paragraphs>54</Paragraphs>
  <ScaleCrop>false</ScaleCrop>
  <Company>HP</Company>
  <LinksUpToDate>false</LinksUpToDate>
  <CharactersWithSpaces>27380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Romain Camos</dc:creator>
  <cp:keywords/>
  <dc:description>Created by the HTML-to-RTF Pro DLL .Net 5.1.10.31</dc:description>
  <cp:lastModifiedBy>Christophe Vidal</cp:lastModifiedBy>
  <cp:revision>2</cp:revision>
  <dcterms:created xsi:type="dcterms:W3CDTF">2026-06-09T13:54:00Z</dcterms:created>
  <dcterms:modified xsi:type="dcterms:W3CDTF">2026-06-09T13:54:00Z</dcterms:modified>
</cp:coreProperties>
</file>